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76633621" w:rsidR="00E66558" w:rsidRPr="00B75329" w:rsidRDefault="009D71E8">
      <w:pPr>
        <w:pStyle w:val="Heading1"/>
        <w:rPr>
          <w:rFonts w:cs="Arial"/>
        </w:rPr>
      </w:pPr>
      <w:bookmarkStart w:id="0" w:name="_Toc400361362"/>
      <w:bookmarkStart w:id="1" w:name="_Toc443397153"/>
      <w:bookmarkStart w:id="2" w:name="_Toc357771638"/>
      <w:bookmarkStart w:id="3" w:name="_Toc346793416"/>
      <w:bookmarkStart w:id="4" w:name="_Toc328122777"/>
      <w:r w:rsidRPr="00B75329">
        <w:rPr>
          <w:rFonts w:cs="Arial"/>
        </w:rPr>
        <w:t>Pupil premium strategy statement</w:t>
      </w:r>
      <w:bookmarkEnd w:id="0"/>
      <w:bookmarkEnd w:id="1"/>
    </w:p>
    <w:p w14:paraId="632A40F2" w14:textId="09F351A1" w:rsidR="566558C9" w:rsidRPr="0059365A" w:rsidRDefault="00905FF3" w:rsidP="3F205C40">
      <w:pPr>
        <w:rPr>
          <w:rFonts w:cs="Arial"/>
          <w:color w:val="0D0D0D" w:themeColor="text1" w:themeTint="F2"/>
          <w:highlight w:val="yellow"/>
        </w:rPr>
      </w:pP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r w:rsidRPr="0059365A">
        <w:rPr>
          <w:rFonts w:cs="Arial"/>
          <w:color w:val="0D0D0D" w:themeColor="text1" w:themeTint="F2"/>
          <w:highlight w:val="yellow"/>
        </w:rPr>
        <w:t>December 202</w:t>
      </w:r>
      <w:r w:rsidR="0059365A" w:rsidRPr="0059365A">
        <w:rPr>
          <w:rFonts w:cs="Arial"/>
          <w:color w:val="0D0D0D" w:themeColor="text1" w:themeTint="F2"/>
          <w:highlight w:val="yellow"/>
        </w:rPr>
        <w:t>1</w:t>
      </w:r>
      <w:r w:rsidRPr="0059365A">
        <w:rPr>
          <w:rFonts w:cs="Arial"/>
          <w:color w:val="0D0D0D" w:themeColor="text1" w:themeTint="F2"/>
          <w:highlight w:val="yellow"/>
        </w:rPr>
        <w:t>-</w:t>
      </w:r>
      <w:r w:rsidR="0059365A" w:rsidRPr="0059365A">
        <w:rPr>
          <w:rFonts w:cs="Arial"/>
          <w:color w:val="0D0D0D" w:themeColor="text1" w:themeTint="F2"/>
          <w:highlight w:val="yellow"/>
        </w:rPr>
        <w:t>December 2023</w:t>
      </w:r>
    </w:p>
    <w:p w14:paraId="5EF39F47" w14:textId="1E9A466F" w:rsidR="566558C9" w:rsidRPr="00B75329" w:rsidRDefault="566558C9" w:rsidP="3F205C40">
      <w:pPr>
        <w:rPr>
          <w:rFonts w:cs="Arial"/>
          <w:color w:val="0D0D0D" w:themeColor="text1" w:themeTint="F2"/>
        </w:rPr>
      </w:pPr>
      <w:r w:rsidRPr="0059365A">
        <w:rPr>
          <w:rFonts w:cs="Arial"/>
          <w:color w:val="0D0D0D" w:themeColor="text1" w:themeTint="F2"/>
          <w:highlight w:val="yellow"/>
        </w:rPr>
        <w:t>Review date: December 2022</w:t>
      </w:r>
    </w:p>
    <w:p w14:paraId="2A7D54B4" w14:textId="30FF8B92" w:rsidR="00E66558" w:rsidRPr="00B75329" w:rsidRDefault="009D71E8" w:rsidP="00C4237D">
      <w:pPr>
        <w:pStyle w:val="Heading2"/>
        <w:spacing w:before="240"/>
        <w:rPr>
          <w:rFonts w:cs="Arial"/>
          <w:b w:val="0"/>
          <w:bCs/>
          <w:color w:val="auto"/>
          <w:sz w:val="24"/>
          <w:szCs w:val="24"/>
        </w:rPr>
      </w:pPr>
      <w:r w:rsidRPr="00B75329">
        <w:rPr>
          <w:rFonts w:cs="Arial"/>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B75329" w14:paraId="2A7D54B7" w14:textId="77777777" w:rsidTr="08D23AA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B75329" w:rsidRDefault="009D71E8">
            <w:pPr>
              <w:pStyle w:val="TableHeader"/>
              <w:jc w:val="left"/>
              <w:rPr>
                <w:rFonts w:cs="Arial"/>
              </w:rPr>
            </w:pPr>
            <w:r w:rsidRPr="00B75329">
              <w:rPr>
                <w:rFonts w:cs="Arial"/>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B75329" w:rsidRDefault="009D71E8">
            <w:pPr>
              <w:pStyle w:val="TableHeader"/>
              <w:jc w:val="left"/>
              <w:rPr>
                <w:rFonts w:cs="Arial"/>
              </w:rPr>
            </w:pPr>
            <w:r w:rsidRPr="00B75329">
              <w:rPr>
                <w:rFonts w:cs="Arial"/>
              </w:rPr>
              <w:t>Data</w:t>
            </w:r>
          </w:p>
        </w:tc>
      </w:tr>
      <w:tr w:rsidR="00E66558" w:rsidRPr="00B75329" w14:paraId="2A7D54BA" w14:textId="77777777" w:rsidTr="08D23AA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Pr="00B75329" w:rsidRDefault="009D71E8">
            <w:pPr>
              <w:pStyle w:val="TableRow"/>
              <w:rPr>
                <w:rFonts w:cs="Arial"/>
              </w:rPr>
            </w:pPr>
            <w:r w:rsidRPr="00B75329">
              <w:rPr>
                <w:rFonts w:cs="Arial"/>
              </w:rP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5FE0DAB" w:rsidR="00E66558" w:rsidRPr="00B75329" w:rsidRDefault="000541D3">
            <w:pPr>
              <w:pStyle w:val="TableRow"/>
              <w:rPr>
                <w:rFonts w:cs="Arial"/>
              </w:rPr>
            </w:pPr>
            <w:r w:rsidRPr="00B75329">
              <w:rPr>
                <w:rFonts w:cs="Arial"/>
              </w:rPr>
              <w:t>Brookhurst Primary School</w:t>
            </w:r>
          </w:p>
        </w:tc>
      </w:tr>
      <w:tr w:rsidR="00E66558" w:rsidRPr="00B75329" w14:paraId="2A7D54BD" w14:textId="77777777" w:rsidTr="08D23AA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Pr="00B75329" w:rsidRDefault="009D71E8">
            <w:pPr>
              <w:pStyle w:val="TableRow"/>
              <w:rPr>
                <w:rFonts w:cs="Arial"/>
              </w:rPr>
            </w:pPr>
            <w:r w:rsidRPr="00B75329">
              <w:rPr>
                <w:rFonts w:cs="Arial"/>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0B22969" w:rsidR="00E66558" w:rsidRPr="00B75329" w:rsidRDefault="002C28B3" w:rsidP="007E5BE1">
            <w:pPr>
              <w:pStyle w:val="TableRow"/>
              <w:ind w:left="0"/>
              <w:rPr>
                <w:rFonts w:cs="Arial"/>
              </w:rPr>
            </w:pPr>
            <w:r w:rsidRPr="00B75329">
              <w:rPr>
                <w:rFonts w:cs="Arial"/>
              </w:rPr>
              <w:t>414</w:t>
            </w:r>
          </w:p>
        </w:tc>
      </w:tr>
      <w:tr w:rsidR="00E66558" w:rsidRPr="00B75329" w14:paraId="2A7D54C0" w14:textId="77777777" w:rsidTr="08D23AA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Pr="00B75329" w:rsidRDefault="009D71E8">
            <w:pPr>
              <w:pStyle w:val="TableRow"/>
              <w:rPr>
                <w:rFonts w:cs="Arial"/>
              </w:rPr>
            </w:pPr>
            <w:r w:rsidRPr="00B75329">
              <w:rPr>
                <w:rFonts w:cs="Arial"/>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362949A" w:rsidR="00E66558" w:rsidRPr="00B75329" w:rsidRDefault="002C28B3" w:rsidP="002C28B3">
            <w:pPr>
              <w:pStyle w:val="TableRow"/>
              <w:ind w:left="0"/>
              <w:rPr>
                <w:rFonts w:cs="Arial"/>
              </w:rPr>
            </w:pPr>
            <w:r w:rsidRPr="00B75329">
              <w:rPr>
                <w:rFonts w:cs="Arial"/>
              </w:rPr>
              <w:t>11.8% (</w:t>
            </w:r>
            <w:r w:rsidR="007E5BE1" w:rsidRPr="00B75329">
              <w:rPr>
                <w:rFonts w:cs="Arial"/>
              </w:rPr>
              <w:t>49 pupils</w:t>
            </w:r>
            <w:r w:rsidRPr="00B75329">
              <w:rPr>
                <w:rFonts w:cs="Arial"/>
              </w:rPr>
              <w:t>)</w:t>
            </w:r>
          </w:p>
        </w:tc>
      </w:tr>
      <w:tr w:rsidR="00E66558" w:rsidRPr="00B75329" w14:paraId="2A7D54C3" w14:textId="77777777" w:rsidTr="08D23AA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71D4ED3" w:rsidR="00E66558" w:rsidRPr="00B75329" w:rsidRDefault="009D71E8" w:rsidP="3F205C40">
            <w:pPr>
              <w:pStyle w:val="TableRow"/>
              <w:rPr>
                <w:rFonts w:cs="Arial"/>
                <w:b/>
                <w:bCs/>
              </w:rPr>
            </w:pPr>
            <w:r w:rsidRPr="00B75329">
              <w:rPr>
                <w:rFonts w:cs="Arial"/>
              </w:rP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1A348B2" w:rsidR="00E66558" w:rsidRPr="00B75329" w:rsidRDefault="00B75329">
            <w:pPr>
              <w:pStyle w:val="TableRow"/>
              <w:rPr>
                <w:rFonts w:cs="Arial"/>
              </w:rPr>
            </w:pPr>
            <w:r>
              <w:rPr>
                <w:rFonts w:cs="Arial"/>
              </w:rPr>
              <w:t>3</w:t>
            </w:r>
            <w:r w:rsidR="00812A5B" w:rsidRPr="00B75329">
              <w:rPr>
                <w:rFonts w:cs="Arial"/>
              </w:rPr>
              <w:t xml:space="preserve"> </w:t>
            </w:r>
            <w:r w:rsidR="003D43D5" w:rsidRPr="00B75329">
              <w:rPr>
                <w:rFonts w:cs="Arial"/>
              </w:rPr>
              <w:t>year</w:t>
            </w:r>
            <w:r>
              <w:rPr>
                <w:rFonts w:cs="Arial"/>
              </w:rPr>
              <w:t>s</w:t>
            </w:r>
          </w:p>
        </w:tc>
      </w:tr>
      <w:tr w:rsidR="00E66558" w:rsidRPr="00B75329" w14:paraId="2A7D54C6" w14:textId="77777777" w:rsidTr="08D23AA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Pr="00B75329" w:rsidRDefault="009D71E8">
            <w:pPr>
              <w:pStyle w:val="TableRow"/>
              <w:rPr>
                <w:rFonts w:cs="Arial"/>
              </w:rPr>
            </w:pPr>
            <w:r w:rsidRPr="00B75329">
              <w:rPr>
                <w:rFonts w:cs="Arial"/>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F341122" w:rsidR="00E66558" w:rsidRPr="00B75329" w:rsidRDefault="003E41A8" w:rsidP="007E5BE1">
            <w:pPr>
              <w:pStyle w:val="TableRow"/>
              <w:ind w:left="0"/>
              <w:rPr>
                <w:rFonts w:cs="Arial"/>
              </w:rPr>
            </w:pPr>
            <w:r w:rsidRPr="00B75329">
              <w:rPr>
                <w:rFonts w:cs="Arial"/>
              </w:rPr>
              <w:t>December 2023</w:t>
            </w:r>
          </w:p>
        </w:tc>
      </w:tr>
      <w:tr w:rsidR="00E66558" w:rsidRPr="00B75329" w14:paraId="2A7D54C9" w14:textId="77777777" w:rsidTr="08D23AA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Pr="00B75329" w:rsidRDefault="009D71E8">
            <w:pPr>
              <w:pStyle w:val="TableRow"/>
              <w:rPr>
                <w:rFonts w:cs="Arial"/>
              </w:rPr>
            </w:pPr>
            <w:r w:rsidRPr="00B75329">
              <w:rPr>
                <w:rFonts w:cs="Arial"/>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061130C" w:rsidR="00E66558" w:rsidRPr="00B75329" w:rsidRDefault="00905FF3" w:rsidP="003D43D5">
            <w:pPr>
              <w:pStyle w:val="TableRow"/>
              <w:ind w:left="0"/>
              <w:rPr>
                <w:rFonts w:cs="Arial"/>
              </w:rPr>
            </w:pPr>
            <w:r w:rsidRPr="00B75329">
              <w:rPr>
                <w:rFonts w:cs="Arial"/>
              </w:rPr>
              <w:t>July 2024</w:t>
            </w:r>
          </w:p>
        </w:tc>
      </w:tr>
      <w:tr w:rsidR="00E66558" w:rsidRPr="00B75329" w14:paraId="2A7D54CC" w14:textId="77777777" w:rsidTr="08D23AA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B75329" w:rsidRDefault="009D71E8">
            <w:pPr>
              <w:pStyle w:val="TableRow"/>
              <w:rPr>
                <w:rFonts w:cs="Arial"/>
              </w:rPr>
            </w:pPr>
            <w:r w:rsidRPr="00B75329">
              <w:rPr>
                <w:rFonts w:cs="Arial"/>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8B45F9" w14:textId="77777777" w:rsidR="003D43D5" w:rsidRPr="00B75329" w:rsidRDefault="00756F41" w:rsidP="00756F41">
            <w:pPr>
              <w:pStyle w:val="TableRow"/>
              <w:ind w:left="0"/>
              <w:rPr>
                <w:rFonts w:cs="Arial"/>
              </w:rPr>
            </w:pPr>
            <w:r w:rsidRPr="00B75329">
              <w:rPr>
                <w:rFonts w:cs="Arial"/>
              </w:rPr>
              <w:t>Angela Stanton</w:t>
            </w:r>
          </w:p>
          <w:p w14:paraId="2A7D54CB" w14:textId="426676C6" w:rsidR="00E66558" w:rsidRPr="00B75329" w:rsidRDefault="00756F41" w:rsidP="00756F41">
            <w:pPr>
              <w:pStyle w:val="TableRow"/>
              <w:ind w:left="0"/>
              <w:rPr>
                <w:rFonts w:cs="Arial"/>
              </w:rPr>
            </w:pPr>
            <w:r w:rsidRPr="00B75329">
              <w:rPr>
                <w:rFonts w:cs="Arial"/>
              </w:rPr>
              <w:t>Head T</w:t>
            </w:r>
            <w:r w:rsidR="003E6218" w:rsidRPr="00B75329">
              <w:rPr>
                <w:rFonts w:cs="Arial"/>
              </w:rPr>
              <w:t>eache</w:t>
            </w:r>
            <w:r w:rsidRPr="00B75329">
              <w:rPr>
                <w:rFonts w:cs="Arial"/>
              </w:rPr>
              <w:t>r</w:t>
            </w:r>
          </w:p>
        </w:tc>
      </w:tr>
      <w:tr w:rsidR="00E66558" w:rsidRPr="00B75329" w14:paraId="2A7D54CF" w14:textId="77777777" w:rsidTr="08D23AA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Pr="00B75329" w:rsidRDefault="009D71E8">
            <w:pPr>
              <w:pStyle w:val="TableRow"/>
              <w:rPr>
                <w:rFonts w:cs="Arial"/>
              </w:rPr>
            </w:pPr>
            <w:r w:rsidRPr="00B75329">
              <w:rPr>
                <w:rFonts w:cs="Arial"/>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69E2307" w:rsidR="00E66558" w:rsidRPr="00B75329" w:rsidRDefault="000A0C7F">
            <w:pPr>
              <w:pStyle w:val="TableRow"/>
              <w:rPr>
                <w:rFonts w:cs="Arial"/>
              </w:rPr>
            </w:pPr>
            <w:r w:rsidRPr="00B75329">
              <w:rPr>
                <w:rFonts w:cs="Arial"/>
              </w:rPr>
              <w:t>Emma Hugill</w:t>
            </w:r>
          </w:p>
        </w:tc>
      </w:tr>
      <w:tr w:rsidR="00E66558" w:rsidRPr="00B75329" w14:paraId="2A7D54D2" w14:textId="77777777" w:rsidTr="08D23AA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0C5C969E" w:rsidR="00E66558" w:rsidRPr="00B75329" w:rsidRDefault="009D71E8" w:rsidP="00756F41">
            <w:pPr>
              <w:pStyle w:val="TableRow"/>
              <w:rPr>
                <w:rFonts w:cs="Arial"/>
              </w:rPr>
            </w:pPr>
            <w:r w:rsidRPr="00B75329">
              <w:rPr>
                <w:rFonts w:cs="Arial"/>
              </w:rPr>
              <w:t>Governor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2A200902" w:rsidR="00E66558" w:rsidRPr="00B75329" w:rsidRDefault="007E5BE1">
            <w:pPr>
              <w:pStyle w:val="TableRow"/>
              <w:rPr>
                <w:rFonts w:cs="Arial"/>
              </w:rPr>
            </w:pPr>
            <w:r w:rsidRPr="00B75329">
              <w:rPr>
                <w:rFonts w:cs="Arial"/>
              </w:rPr>
              <w:t>Alysa Levene</w:t>
            </w:r>
          </w:p>
        </w:tc>
      </w:tr>
    </w:tbl>
    <w:bookmarkEnd w:id="2"/>
    <w:bookmarkEnd w:id="3"/>
    <w:bookmarkEnd w:id="4"/>
    <w:p w14:paraId="2A7D54D3" w14:textId="77777777" w:rsidR="00E66558" w:rsidRPr="00B75329" w:rsidRDefault="009D71E8">
      <w:pPr>
        <w:spacing w:before="480" w:line="240" w:lineRule="auto"/>
        <w:rPr>
          <w:rFonts w:cs="Arial"/>
          <w:b/>
          <w:color w:val="104F75"/>
          <w:sz w:val="32"/>
          <w:szCs w:val="32"/>
        </w:rPr>
      </w:pPr>
      <w:r w:rsidRPr="00B75329">
        <w:rPr>
          <w:rFonts w:cs="Arial"/>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B75329" w14:paraId="2A7D54D6" w14:textId="77777777" w:rsidTr="3F205C4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Pr="00B75329" w:rsidRDefault="009D71E8">
            <w:pPr>
              <w:pStyle w:val="TableRow"/>
              <w:rPr>
                <w:rFonts w:cs="Arial"/>
              </w:rPr>
            </w:pPr>
            <w:r w:rsidRPr="00B75329">
              <w:rPr>
                <w:rFonts w:cs="Arial"/>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Pr="00B75329" w:rsidRDefault="009D71E8">
            <w:pPr>
              <w:pStyle w:val="TableRow"/>
              <w:rPr>
                <w:rFonts w:cs="Arial"/>
              </w:rPr>
            </w:pPr>
            <w:r w:rsidRPr="00B75329">
              <w:rPr>
                <w:rFonts w:cs="Arial"/>
                <w:b/>
              </w:rPr>
              <w:t>Amount</w:t>
            </w:r>
          </w:p>
        </w:tc>
      </w:tr>
      <w:tr w:rsidR="00E66558" w:rsidRPr="00B75329" w14:paraId="2A7D54D9" w14:textId="77777777" w:rsidTr="3F205C4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B75329" w:rsidRDefault="009D71E8">
            <w:pPr>
              <w:pStyle w:val="TableRow"/>
              <w:rPr>
                <w:rFonts w:cs="Arial"/>
              </w:rPr>
            </w:pPr>
            <w:r w:rsidRPr="00B75329">
              <w:rPr>
                <w:rFonts w:cs="Arial"/>
              </w:rP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1A8ED42" w:rsidR="000A0C7F" w:rsidRPr="00B75329" w:rsidRDefault="007E5BE1">
            <w:pPr>
              <w:pStyle w:val="TableRow"/>
              <w:rPr>
                <w:rFonts w:cs="Arial"/>
                <w:sz w:val="22"/>
                <w:szCs w:val="22"/>
              </w:rPr>
            </w:pPr>
            <w:r w:rsidRPr="00B75329">
              <w:rPr>
                <w:rFonts w:cs="Arial"/>
                <w:sz w:val="22"/>
                <w:szCs w:val="22"/>
              </w:rPr>
              <w:t>£69,015.00</w:t>
            </w:r>
          </w:p>
        </w:tc>
      </w:tr>
      <w:tr w:rsidR="00E66558" w:rsidRPr="00B75329" w14:paraId="2A7D54DC" w14:textId="77777777" w:rsidTr="3F205C40">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B75329" w:rsidRDefault="009D71E8">
            <w:pPr>
              <w:pStyle w:val="TableRow"/>
              <w:rPr>
                <w:rFonts w:cs="Arial"/>
              </w:rPr>
            </w:pPr>
            <w:r w:rsidRPr="00B75329">
              <w:rPr>
                <w:rFonts w:cs="Arial"/>
              </w:rP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2477F43" w:rsidR="00E66558" w:rsidRPr="00B75329" w:rsidRDefault="007E5BE1">
            <w:pPr>
              <w:pStyle w:val="TableRow"/>
              <w:rPr>
                <w:rFonts w:cs="Arial"/>
                <w:sz w:val="22"/>
                <w:szCs w:val="22"/>
              </w:rPr>
            </w:pPr>
            <w:r w:rsidRPr="00B75329">
              <w:rPr>
                <w:rFonts w:cs="Arial"/>
                <w:bCs/>
                <w:color w:val="000000"/>
                <w:sz w:val="22"/>
                <w:szCs w:val="22"/>
                <w:bdr w:val="none" w:sz="0" w:space="0" w:color="auto" w:frame="1"/>
                <w:shd w:val="clear" w:color="auto" w:fill="FFFFFF"/>
              </w:rPr>
              <w:t>£1,558.75</w:t>
            </w:r>
          </w:p>
        </w:tc>
      </w:tr>
      <w:tr w:rsidR="3F205C40" w:rsidRPr="00B75329" w14:paraId="5BF38DFB" w14:textId="77777777" w:rsidTr="3F205C40">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9FD3A4A" w14:textId="0821E2E8" w:rsidR="3F205C40" w:rsidRPr="00B75329" w:rsidRDefault="3F205C40" w:rsidP="3F205C40">
            <w:pPr>
              <w:pStyle w:val="TableRow"/>
              <w:rPr>
                <w:rFonts w:cs="Arial"/>
                <w:b/>
                <w:bCs/>
                <w:color w:val="0D0D0D" w:themeColor="text1" w:themeTint="F2"/>
              </w:rPr>
            </w:pPr>
            <w:r w:rsidRPr="00B75329">
              <w:rPr>
                <w:rFonts w:cs="Arial"/>
                <w:color w:val="0D0D0D" w:themeColor="text1" w:themeTint="F2"/>
              </w:rPr>
              <w:t>School-led Tutoring Grant</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EF0E6D" w14:textId="4C92BFD5" w:rsidR="3F205C40" w:rsidRPr="00B75329" w:rsidRDefault="00A77C99" w:rsidP="3F205C40">
            <w:pPr>
              <w:pStyle w:val="TableRow"/>
              <w:rPr>
                <w:rFonts w:cs="Arial"/>
                <w:color w:val="0D0D0D" w:themeColor="text1" w:themeTint="F2"/>
                <w:sz w:val="22"/>
                <w:szCs w:val="22"/>
              </w:rPr>
            </w:pPr>
            <w:r w:rsidRPr="00B75329">
              <w:rPr>
                <w:rFonts w:cs="Arial"/>
                <w:color w:val="0D0D0D" w:themeColor="text1" w:themeTint="F2"/>
                <w:sz w:val="22"/>
                <w:szCs w:val="22"/>
              </w:rPr>
              <w:t>2,480.64</w:t>
            </w:r>
          </w:p>
        </w:tc>
      </w:tr>
      <w:tr w:rsidR="00E66558" w:rsidRPr="00B75329" w14:paraId="2A7D54DF" w14:textId="77777777" w:rsidTr="3F205C40">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Pr="00B75329" w:rsidRDefault="009D71E8">
            <w:pPr>
              <w:pStyle w:val="TableRow"/>
              <w:rPr>
                <w:rFonts w:cs="Arial"/>
              </w:rPr>
            </w:pPr>
            <w:r w:rsidRPr="00B75329">
              <w:rPr>
                <w:rFonts w:cs="Arial"/>
              </w:rP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77B20D1" w:rsidR="00E66558" w:rsidRPr="00B75329" w:rsidRDefault="009D71E8" w:rsidP="00202482">
            <w:pPr>
              <w:pStyle w:val="TableRow"/>
              <w:rPr>
                <w:rFonts w:cs="Arial"/>
                <w:sz w:val="22"/>
                <w:szCs w:val="22"/>
              </w:rPr>
            </w:pPr>
            <w:r w:rsidRPr="00B75329">
              <w:rPr>
                <w:rFonts w:cs="Arial"/>
                <w:sz w:val="22"/>
                <w:szCs w:val="22"/>
              </w:rPr>
              <w:t>£</w:t>
            </w:r>
            <w:r w:rsidR="000A0C7F" w:rsidRPr="00B75329">
              <w:rPr>
                <w:rFonts w:cs="Arial"/>
                <w:sz w:val="22"/>
                <w:szCs w:val="22"/>
              </w:rPr>
              <w:t xml:space="preserve"> </w:t>
            </w:r>
            <w:r w:rsidR="00202482" w:rsidRPr="00B75329">
              <w:rPr>
                <w:rFonts w:cs="Arial"/>
                <w:sz w:val="22"/>
                <w:szCs w:val="22"/>
              </w:rPr>
              <w:t>0</w:t>
            </w:r>
          </w:p>
        </w:tc>
      </w:tr>
      <w:tr w:rsidR="00E66558" w:rsidRPr="00B75329" w14:paraId="2A7D54E3" w14:textId="77777777" w:rsidTr="3F205C40">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B75329" w:rsidRDefault="009D71E8">
            <w:pPr>
              <w:pStyle w:val="TableRow"/>
              <w:rPr>
                <w:rFonts w:cs="Arial"/>
                <w:b/>
              </w:rPr>
            </w:pPr>
            <w:r w:rsidRPr="00B75329">
              <w:rPr>
                <w:rFonts w:cs="Arial"/>
                <w:b/>
              </w:rPr>
              <w:t>Total budget for this academic year</w:t>
            </w:r>
          </w:p>
          <w:p w14:paraId="2A7D54E1" w14:textId="40FEE44A" w:rsidR="00E66558" w:rsidRPr="00B75329" w:rsidRDefault="00E66558">
            <w:pPr>
              <w:pStyle w:val="TableRow"/>
              <w:rPr>
                <w:rFonts w:cs="Arial"/>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096E940" w:rsidR="00E66558" w:rsidRPr="00B75329" w:rsidRDefault="007E5BE1">
            <w:pPr>
              <w:pStyle w:val="TableRow"/>
              <w:rPr>
                <w:rFonts w:cs="Arial"/>
                <w:sz w:val="22"/>
                <w:szCs w:val="22"/>
              </w:rPr>
            </w:pPr>
            <w:r w:rsidRPr="00B75329">
              <w:rPr>
                <w:rFonts w:cs="Arial"/>
                <w:sz w:val="22"/>
                <w:szCs w:val="22"/>
              </w:rPr>
              <w:t>£7</w:t>
            </w:r>
            <w:r w:rsidR="00A77C99" w:rsidRPr="00B75329">
              <w:rPr>
                <w:rFonts w:cs="Arial"/>
                <w:sz w:val="22"/>
                <w:szCs w:val="22"/>
              </w:rPr>
              <w:t>3</w:t>
            </w:r>
            <w:r w:rsidRPr="00B75329">
              <w:rPr>
                <w:rFonts w:cs="Arial"/>
                <w:sz w:val="22"/>
                <w:szCs w:val="22"/>
              </w:rPr>
              <w:t>,</w:t>
            </w:r>
            <w:r w:rsidR="00A77C99" w:rsidRPr="00B75329">
              <w:rPr>
                <w:rFonts w:cs="Arial"/>
                <w:sz w:val="22"/>
                <w:szCs w:val="22"/>
              </w:rPr>
              <w:t>053</w:t>
            </w:r>
            <w:r w:rsidRPr="00B75329">
              <w:rPr>
                <w:rFonts w:cs="Arial"/>
                <w:sz w:val="22"/>
                <w:szCs w:val="22"/>
              </w:rPr>
              <w:t>.</w:t>
            </w:r>
            <w:r w:rsidR="00A77C99" w:rsidRPr="00B75329">
              <w:rPr>
                <w:rFonts w:cs="Arial"/>
                <w:sz w:val="22"/>
                <w:szCs w:val="22"/>
              </w:rPr>
              <w:t>64</w:t>
            </w:r>
          </w:p>
        </w:tc>
      </w:tr>
    </w:tbl>
    <w:p w14:paraId="2A7D54E4" w14:textId="77777777" w:rsidR="00E66558" w:rsidRPr="00B75329" w:rsidRDefault="009D71E8">
      <w:pPr>
        <w:pStyle w:val="Heading1"/>
        <w:rPr>
          <w:rFonts w:cs="Arial"/>
        </w:rPr>
      </w:pPr>
      <w:r w:rsidRPr="00B75329">
        <w:rPr>
          <w:rFonts w:cs="Arial"/>
        </w:rPr>
        <w:lastRenderedPageBreak/>
        <w:t>Part A: Pupil premium strategy plan</w:t>
      </w:r>
    </w:p>
    <w:p w14:paraId="2A7D54E5" w14:textId="5DBEA7AD" w:rsidR="00E66558" w:rsidRPr="00B75329" w:rsidRDefault="009D71E8">
      <w:pPr>
        <w:pStyle w:val="Heading2"/>
        <w:rPr>
          <w:rFonts w:cs="Arial"/>
        </w:rPr>
      </w:pPr>
      <w:bookmarkStart w:id="14" w:name="_Toc357771640"/>
      <w:bookmarkStart w:id="15" w:name="_Toc346793418"/>
      <w:r w:rsidRPr="00B75329">
        <w:rPr>
          <w:rFonts w:cs="Arial"/>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B75329" w14:paraId="2A7D54EA" w14:textId="77777777" w:rsidTr="34F9AF46">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2A33EF" w14:textId="77777777" w:rsidR="002C28B3" w:rsidRPr="009B5768" w:rsidRDefault="002C28B3" w:rsidP="00756F41">
            <w:pPr>
              <w:spacing w:before="120" w:after="120"/>
              <w:rPr>
                <w:rFonts w:cs="Arial"/>
                <w:sz w:val="22"/>
                <w:szCs w:val="22"/>
              </w:rPr>
            </w:pPr>
            <w:r w:rsidRPr="009B5768">
              <w:rPr>
                <w:rFonts w:cs="Arial"/>
                <w:sz w:val="22"/>
                <w:szCs w:val="22"/>
              </w:rPr>
              <w:t>Our mission statement:</w:t>
            </w:r>
          </w:p>
          <w:p w14:paraId="2363A644" w14:textId="77777777" w:rsidR="002C28B3" w:rsidRPr="009B5768" w:rsidRDefault="002C28B3" w:rsidP="00756F41">
            <w:pPr>
              <w:spacing w:before="120" w:after="120"/>
              <w:rPr>
                <w:rFonts w:cs="Arial"/>
                <w:i/>
                <w:iCs/>
                <w:sz w:val="22"/>
                <w:szCs w:val="22"/>
              </w:rPr>
            </w:pPr>
            <w:r w:rsidRPr="009B5768">
              <w:rPr>
                <w:rFonts w:cs="Arial"/>
                <w:i/>
                <w:iCs/>
                <w:sz w:val="22"/>
                <w:szCs w:val="22"/>
              </w:rPr>
              <w:t xml:space="preserve">Who you will be tomorrow starts with us today. </w:t>
            </w:r>
          </w:p>
          <w:p w14:paraId="008D10B7" w14:textId="77777777" w:rsidR="002C28B3" w:rsidRPr="009B5768" w:rsidRDefault="002C28B3" w:rsidP="00756F41">
            <w:pPr>
              <w:spacing w:before="120" w:after="120"/>
              <w:rPr>
                <w:rFonts w:cs="Arial"/>
                <w:i/>
                <w:iCs/>
                <w:sz w:val="22"/>
                <w:szCs w:val="22"/>
              </w:rPr>
            </w:pPr>
            <w:r w:rsidRPr="009B5768">
              <w:rPr>
                <w:rFonts w:cs="Arial"/>
                <w:i/>
                <w:iCs/>
                <w:sz w:val="22"/>
                <w:szCs w:val="22"/>
              </w:rPr>
              <w:t xml:space="preserve">Brookhurst is built around community, striving for excellent in all we do within a nurturing and sustainable environment. We encourage self-belief and develop strength of character empowering us all to be the best we can be. Ultimately, Brookhurst prepares our children for the next stage of their lives and enables them to achieve their dreams. </w:t>
            </w:r>
          </w:p>
          <w:p w14:paraId="613AD14E" w14:textId="77777777" w:rsidR="00E66558" w:rsidRPr="009B5768" w:rsidRDefault="002C28B3" w:rsidP="00756F41">
            <w:pPr>
              <w:spacing w:before="120" w:after="120"/>
              <w:rPr>
                <w:rFonts w:cs="Arial"/>
                <w:sz w:val="22"/>
                <w:szCs w:val="22"/>
              </w:rPr>
            </w:pPr>
            <w:r w:rsidRPr="009B5768">
              <w:rPr>
                <w:rFonts w:cs="Arial"/>
                <w:i/>
                <w:iCs/>
                <w:sz w:val="22"/>
                <w:szCs w:val="22"/>
              </w:rPr>
              <w:t xml:space="preserve">Grow with us today on your </w:t>
            </w:r>
            <w:r w:rsidR="00905FF3" w:rsidRPr="009B5768">
              <w:rPr>
                <w:rFonts w:cs="Arial"/>
                <w:i/>
                <w:iCs/>
                <w:sz w:val="22"/>
                <w:szCs w:val="22"/>
              </w:rPr>
              <w:t>individual</w:t>
            </w:r>
            <w:r w:rsidRPr="009B5768">
              <w:rPr>
                <w:rFonts w:cs="Arial"/>
                <w:i/>
                <w:iCs/>
                <w:sz w:val="22"/>
                <w:szCs w:val="22"/>
              </w:rPr>
              <w:t xml:space="preserve"> adventure.</w:t>
            </w:r>
            <w:r w:rsidRPr="009B5768">
              <w:rPr>
                <w:rFonts w:cs="Arial"/>
                <w:sz w:val="22"/>
                <w:szCs w:val="22"/>
              </w:rPr>
              <w:t xml:space="preserve"> </w:t>
            </w:r>
            <w:r w:rsidR="6657C757" w:rsidRPr="009B5768">
              <w:rPr>
                <w:rFonts w:cs="Arial"/>
                <w:sz w:val="22"/>
                <w:szCs w:val="22"/>
              </w:rPr>
              <w:t xml:space="preserve"> </w:t>
            </w:r>
          </w:p>
          <w:p w14:paraId="29A99FC9" w14:textId="1E3D1172" w:rsidR="00B75329" w:rsidRPr="009B5768" w:rsidRDefault="00B75329" w:rsidP="00756F41">
            <w:pPr>
              <w:spacing w:before="120" w:after="120"/>
              <w:rPr>
                <w:rFonts w:cs="Arial"/>
                <w:sz w:val="22"/>
                <w:szCs w:val="22"/>
              </w:rPr>
            </w:pPr>
            <w:r w:rsidRPr="009B5768">
              <w:rPr>
                <w:rFonts w:cs="Arial"/>
                <w:sz w:val="22"/>
                <w:szCs w:val="22"/>
              </w:rPr>
              <w:t xml:space="preserve">We aim to ensure that all of our strategies to support disadvantaged pupils are in line with our mission statement and will help to prepare children become lifelong learners. </w:t>
            </w:r>
          </w:p>
          <w:p w14:paraId="4BA18591" w14:textId="694563F8" w:rsidR="00B75329" w:rsidRPr="009B5768" w:rsidRDefault="00B75329" w:rsidP="00B75329">
            <w:pPr>
              <w:spacing w:before="120" w:after="120"/>
              <w:rPr>
                <w:rFonts w:cs="Arial"/>
                <w:sz w:val="22"/>
                <w:szCs w:val="22"/>
              </w:rPr>
            </w:pPr>
            <w:r w:rsidRPr="009B5768">
              <w:rPr>
                <w:rFonts w:cs="Arial"/>
                <w:sz w:val="22"/>
                <w:szCs w:val="22"/>
              </w:rPr>
              <w:t>We recognise the importance of considering the context of the school and the subsequent challenges m</w:t>
            </w:r>
            <w:bookmarkStart w:id="16" w:name="_GoBack"/>
            <w:bookmarkEnd w:id="16"/>
            <w:r w:rsidRPr="009B5768">
              <w:rPr>
                <w:rFonts w:cs="Arial"/>
                <w:sz w:val="22"/>
                <w:szCs w:val="22"/>
              </w:rPr>
              <w:t xml:space="preserve">ade. We will use the three-tiered approach recommended by the EEF which is: high quality teaching, targeted support and wider strategies. </w:t>
            </w:r>
          </w:p>
          <w:p w14:paraId="0E8DD82E" w14:textId="77777777" w:rsidR="00B75329" w:rsidRPr="009B5768" w:rsidRDefault="00B75329" w:rsidP="00B75329">
            <w:pPr>
              <w:spacing w:before="120" w:after="120"/>
              <w:rPr>
                <w:rFonts w:cs="Arial"/>
                <w:sz w:val="22"/>
                <w:szCs w:val="22"/>
              </w:rPr>
            </w:pPr>
            <w:r w:rsidRPr="009B5768">
              <w:rPr>
                <w:rFonts w:cs="Arial"/>
                <w:sz w:val="22"/>
                <w:szCs w:val="22"/>
              </w:rPr>
              <w:t xml:space="preserve">Although there are common barriers to learning for disadvantaged pupils such as lack of confidence, resilience and attendance issues, we recognise that the challenges are varied and there is no ‘one size fits all’. </w:t>
            </w:r>
          </w:p>
          <w:p w14:paraId="2A3694FA" w14:textId="6D33A0DC" w:rsidR="00B75329" w:rsidRPr="009B5768" w:rsidRDefault="00B75329" w:rsidP="00B75329">
            <w:pPr>
              <w:spacing w:before="120" w:after="120"/>
              <w:rPr>
                <w:rFonts w:cs="Arial"/>
                <w:sz w:val="22"/>
                <w:szCs w:val="22"/>
              </w:rPr>
            </w:pPr>
            <w:r w:rsidRPr="009B5768">
              <w:rPr>
                <w:rFonts w:cs="Arial"/>
                <w:sz w:val="22"/>
                <w:szCs w:val="22"/>
              </w:rPr>
              <w:t>As recognised by the EEF we acknowledge that ‘good teaching is the most important lever schools have to improve outcomes for disadvantaged students’. We will further develop our First Quality Teaching through focused CPD for our Teaching Team.</w:t>
            </w:r>
          </w:p>
          <w:p w14:paraId="0AFE132A" w14:textId="77777777" w:rsidR="00B75329" w:rsidRPr="009B5768" w:rsidRDefault="00B75329" w:rsidP="00B75329">
            <w:pPr>
              <w:spacing w:before="120" w:after="120"/>
              <w:rPr>
                <w:rFonts w:cs="Arial"/>
                <w:sz w:val="22"/>
                <w:szCs w:val="22"/>
              </w:rPr>
            </w:pPr>
            <w:r w:rsidRPr="009B5768">
              <w:rPr>
                <w:rFonts w:cs="Arial"/>
                <w:sz w:val="22"/>
                <w:szCs w:val="22"/>
              </w:rPr>
              <w:t>The key principles of our strategy:</w:t>
            </w:r>
          </w:p>
          <w:p w14:paraId="5031EBA7" w14:textId="77777777" w:rsidR="00B75329" w:rsidRPr="009B5768" w:rsidRDefault="00B75329" w:rsidP="00B75329">
            <w:pPr>
              <w:spacing w:before="120" w:after="120"/>
              <w:rPr>
                <w:rFonts w:cs="Arial"/>
                <w:sz w:val="22"/>
                <w:szCs w:val="22"/>
              </w:rPr>
            </w:pPr>
            <w:r w:rsidRPr="009B5768">
              <w:rPr>
                <w:rFonts w:cs="Arial"/>
                <w:sz w:val="22"/>
                <w:szCs w:val="22"/>
              </w:rPr>
              <w:t>•</w:t>
            </w:r>
            <w:r w:rsidRPr="009B5768">
              <w:rPr>
                <w:rFonts w:cs="Arial"/>
                <w:sz w:val="22"/>
                <w:szCs w:val="22"/>
              </w:rPr>
              <w:tab/>
              <w:t>Decisions about progress and attainment are based on forensic analysis of data and use of diagnostic tools to support individual pupils</w:t>
            </w:r>
          </w:p>
          <w:p w14:paraId="262A44C1" w14:textId="085FD3D3" w:rsidR="00B75329" w:rsidRPr="009B5768" w:rsidRDefault="00B75329" w:rsidP="00B75329">
            <w:pPr>
              <w:spacing w:before="120" w:after="120"/>
              <w:rPr>
                <w:rFonts w:cs="Arial"/>
                <w:sz w:val="22"/>
                <w:szCs w:val="22"/>
              </w:rPr>
            </w:pPr>
            <w:r w:rsidRPr="009B5768">
              <w:rPr>
                <w:rFonts w:cs="Arial"/>
                <w:sz w:val="22"/>
                <w:szCs w:val="22"/>
              </w:rPr>
              <w:t>•</w:t>
            </w:r>
            <w:r w:rsidRPr="009B5768">
              <w:rPr>
                <w:rFonts w:cs="Arial"/>
                <w:sz w:val="22"/>
                <w:szCs w:val="22"/>
              </w:rPr>
              <w:tab/>
              <w:t>Mental health and well-being are improved for all pupils</w:t>
            </w:r>
          </w:p>
          <w:p w14:paraId="3E9C66D9" w14:textId="77777777" w:rsidR="00B75329" w:rsidRPr="009B5768" w:rsidRDefault="00B75329" w:rsidP="00B75329">
            <w:pPr>
              <w:spacing w:before="120" w:after="120"/>
              <w:rPr>
                <w:rFonts w:cs="Arial"/>
                <w:sz w:val="22"/>
                <w:szCs w:val="22"/>
              </w:rPr>
            </w:pPr>
            <w:r w:rsidRPr="009B5768">
              <w:rPr>
                <w:rFonts w:cs="Arial"/>
                <w:sz w:val="22"/>
                <w:szCs w:val="22"/>
              </w:rPr>
              <w:t>•</w:t>
            </w:r>
            <w:r w:rsidRPr="009B5768">
              <w:rPr>
                <w:rFonts w:cs="Arial"/>
                <w:sz w:val="22"/>
                <w:szCs w:val="22"/>
              </w:rPr>
              <w:tab/>
              <w:t xml:space="preserve">High quality teaching </w:t>
            </w:r>
          </w:p>
          <w:p w14:paraId="1122584B" w14:textId="77777777" w:rsidR="00B75329" w:rsidRPr="009B5768" w:rsidRDefault="00B75329" w:rsidP="00B75329">
            <w:pPr>
              <w:spacing w:before="120" w:after="120"/>
              <w:rPr>
                <w:rFonts w:cs="Arial"/>
                <w:sz w:val="22"/>
                <w:szCs w:val="22"/>
              </w:rPr>
            </w:pPr>
            <w:r w:rsidRPr="009B5768">
              <w:rPr>
                <w:rFonts w:cs="Arial"/>
                <w:sz w:val="22"/>
                <w:szCs w:val="22"/>
              </w:rPr>
              <w:t>•</w:t>
            </w:r>
            <w:r w:rsidRPr="009B5768">
              <w:rPr>
                <w:rFonts w:cs="Arial"/>
                <w:sz w:val="22"/>
                <w:szCs w:val="22"/>
              </w:rPr>
              <w:tab/>
              <w:t>Disadvantaged pupils are provided with opportunities for enrichment</w:t>
            </w:r>
          </w:p>
          <w:p w14:paraId="2A7D54E9" w14:textId="52FDD7B8" w:rsidR="00905FF3" w:rsidRPr="00B75329" w:rsidRDefault="00B75329" w:rsidP="00756F41">
            <w:pPr>
              <w:spacing w:before="120" w:after="120"/>
              <w:rPr>
                <w:rFonts w:cs="Arial"/>
                <w:sz w:val="22"/>
                <w:szCs w:val="22"/>
              </w:rPr>
            </w:pPr>
            <w:r w:rsidRPr="009B5768">
              <w:rPr>
                <w:rFonts w:cs="Arial"/>
                <w:sz w:val="22"/>
                <w:szCs w:val="22"/>
              </w:rPr>
              <w:t xml:space="preserve">Whilst our strategy adopts the recommended EEF tiered approach we recognise that it will, inevitably, vary from year to year as the </w:t>
            </w:r>
            <w:proofErr w:type="gramStart"/>
            <w:r w:rsidRPr="009B5768">
              <w:rPr>
                <w:rFonts w:cs="Arial"/>
                <w:sz w:val="22"/>
                <w:szCs w:val="22"/>
              </w:rPr>
              <w:t>school’s</w:t>
            </w:r>
            <w:proofErr w:type="gramEnd"/>
            <w:r w:rsidRPr="009B5768">
              <w:rPr>
                <w:rFonts w:cs="Arial"/>
                <w:sz w:val="22"/>
                <w:szCs w:val="22"/>
              </w:rPr>
              <w:t xml:space="preserve"> and children’s priorities change. We will focus on a small number of strategies that commensurate with our school development plan.</w:t>
            </w:r>
          </w:p>
        </w:tc>
      </w:tr>
    </w:tbl>
    <w:p w14:paraId="2A7D54EB" w14:textId="0D267F81" w:rsidR="00E66558" w:rsidRPr="00B75329" w:rsidRDefault="009D71E8">
      <w:pPr>
        <w:pStyle w:val="Heading2"/>
        <w:spacing w:before="600"/>
        <w:rPr>
          <w:rFonts w:cs="Arial"/>
        </w:rPr>
      </w:pPr>
      <w:r w:rsidRPr="00B75329">
        <w:rPr>
          <w:rFonts w:cs="Arial"/>
        </w:rPr>
        <w:t>Challenges</w:t>
      </w:r>
    </w:p>
    <w:p w14:paraId="2A7D54EC" w14:textId="77777777" w:rsidR="00E66558" w:rsidRPr="00B75329" w:rsidRDefault="009D71E8">
      <w:pPr>
        <w:spacing w:before="120" w:line="240" w:lineRule="auto"/>
        <w:textAlignment w:val="baseline"/>
        <w:outlineLvl w:val="0"/>
        <w:rPr>
          <w:rFonts w:cs="Arial"/>
        </w:rPr>
      </w:pPr>
      <w:r w:rsidRPr="00B75329">
        <w:rPr>
          <w:rFonts w:cs="Arial"/>
          <w:bCs/>
          <w:color w:val="auto"/>
        </w:rPr>
        <w:t>This details</w:t>
      </w:r>
      <w:r w:rsidRPr="00B75329">
        <w:rPr>
          <w:rFonts w:cs="Arial"/>
          <w:color w:val="auto"/>
        </w:rPr>
        <w:t xml:space="preserve"> the key</w:t>
      </w:r>
      <w:r w:rsidRPr="00B75329">
        <w:rPr>
          <w:rFonts w:cs="Arial"/>
          <w:bCs/>
          <w:color w:val="auto"/>
        </w:rPr>
        <w:t xml:space="preserve"> </w:t>
      </w:r>
      <w:r w:rsidRPr="00B75329">
        <w:rPr>
          <w:rFonts w:cs="Arial"/>
          <w:color w:val="auto"/>
        </w:rPr>
        <w:t xml:space="preserve">challenges to </w:t>
      </w:r>
      <w:r w:rsidRPr="00B75329">
        <w:rPr>
          <w:rFonts w:cs="Arial"/>
          <w:bCs/>
          <w:color w:val="auto"/>
        </w:rPr>
        <w:t>achievement that we have</w:t>
      </w:r>
      <w:r w:rsidRPr="00B75329">
        <w:rPr>
          <w:rFonts w:cs="Arial"/>
          <w:color w:val="auto"/>
        </w:rPr>
        <w:t xml:space="preserve"> identified among </w:t>
      </w:r>
      <w:r w:rsidRPr="00B75329">
        <w:rPr>
          <w:rFonts w:cs="Arial"/>
          <w:bCs/>
          <w:color w:val="auto"/>
        </w:rPr>
        <w:t>our</w:t>
      </w:r>
      <w:r w:rsidRPr="00B75329">
        <w:rPr>
          <w:rFonts w:cs="Arial"/>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B75329" w14:paraId="2A7D54EF" w14:textId="77777777" w:rsidTr="6FFE2133">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B75329" w:rsidRDefault="009D71E8">
            <w:pPr>
              <w:pStyle w:val="TableHeader"/>
              <w:jc w:val="left"/>
              <w:rPr>
                <w:rFonts w:cs="Arial"/>
              </w:rPr>
            </w:pPr>
            <w:r w:rsidRPr="00B75329">
              <w:rPr>
                <w:rFonts w:cs="Arial"/>
              </w:rP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B75329" w:rsidRDefault="009D71E8">
            <w:pPr>
              <w:pStyle w:val="TableHeader"/>
              <w:jc w:val="left"/>
              <w:rPr>
                <w:rFonts w:cs="Arial"/>
              </w:rPr>
            </w:pPr>
            <w:r w:rsidRPr="00B75329">
              <w:rPr>
                <w:rFonts w:cs="Arial"/>
              </w:rPr>
              <w:t xml:space="preserve">Detail of challenge </w:t>
            </w:r>
          </w:p>
        </w:tc>
      </w:tr>
      <w:tr w:rsidR="00E66558" w:rsidRPr="00B75329" w14:paraId="2A7D54F5" w14:textId="77777777" w:rsidTr="6FFE2133">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1DBD7870" w:rsidR="00E66558" w:rsidRPr="00B75329" w:rsidRDefault="067256C0">
            <w:pPr>
              <w:pStyle w:val="TableRow"/>
              <w:rPr>
                <w:rFonts w:cs="Arial"/>
                <w:sz w:val="22"/>
                <w:szCs w:val="22"/>
              </w:rPr>
            </w:pPr>
            <w:r w:rsidRPr="00B75329">
              <w:rPr>
                <w:rFonts w:cs="Arial"/>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147B92" w14:textId="333E2DA2" w:rsidR="00E66558" w:rsidRPr="00B75329" w:rsidRDefault="0BD2A7BA">
            <w:pPr>
              <w:pStyle w:val="TableRowCentered"/>
              <w:jc w:val="left"/>
              <w:rPr>
                <w:rFonts w:cs="Arial"/>
              </w:rPr>
            </w:pPr>
            <w:r w:rsidRPr="00B75329">
              <w:rPr>
                <w:rFonts w:cs="Arial"/>
              </w:rPr>
              <w:t xml:space="preserve">The </w:t>
            </w:r>
            <w:r w:rsidR="2FEE9341" w:rsidRPr="00B75329">
              <w:rPr>
                <w:rFonts w:cs="Arial"/>
              </w:rPr>
              <w:t xml:space="preserve">progress and </w:t>
            </w:r>
            <w:r w:rsidRPr="00B75329">
              <w:rPr>
                <w:rFonts w:cs="Arial"/>
              </w:rPr>
              <w:t xml:space="preserve">attainment of the pupil premium </w:t>
            </w:r>
            <w:r w:rsidR="158AF292" w:rsidRPr="00B75329">
              <w:rPr>
                <w:rFonts w:cs="Arial"/>
              </w:rPr>
              <w:t>children</w:t>
            </w:r>
            <w:r w:rsidRPr="00B75329">
              <w:rPr>
                <w:rFonts w:cs="Arial"/>
              </w:rPr>
              <w:t xml:space="preserve"> </w:t>
            </w:r>
            <w:r w:rsidR="2B84CD8B" w:rsidRPr="00B75329">
              <w:rPr>
                <w:rFonts w:cs="Arial"/>
              </w:rPr>
              <w:t>at expected standard and above,</w:t>
            </w:r>
            <w:r w:rsidRPr="00B75329">
              <w:rPr>
                <w:rFonts w:cs="Arial"/>
              </w:rPr>
              <w:t xml:space="preserve"> is lower than that of the non-pupil premium cohort.</w:t>
            </w:r>
          </w:p>
          <w:p w14:paraId="740D0869" w14:textId="61F5AC1B" w:rsidR="00E66558" w:rsidRPr="00B75329" w:rsidRDefault="007E5BE1" w:rsidP="3F205C40">
            <w:pPr>
              <w:pStyle w:val="TableRowCentered"/>
              <w:jc w:val="left"/>
              <w:rPr>
                <w:rFonts w:cs="Arial"/>
                <w:color w:val="0D0D0D" w:themeColor="text1" w:themeTint="F2"/>
                <w:szCs w:val="24"/>
              </w:rPr>
            </w:pPr>
            <w:r w:rsidRPr="00B75329">
              <w:rPr>
                <w:rFonts w:cs="Arial"/>
                <w:color w:val="0D0D0D" w:themeColor="text1" w:themeTint="F2"/>
                <w:szCs w:val="24"/>
              </w:rPr>
              <w:t>Whole school: 61% E2+, 13</w:t>
            </w:r>
            <w:r w:rsidR="690A09CC" w:rsidRPr="00B75329">
              <w:rPr>
                <w:rFonts w:cs="Arial"/>
                <w:color w:val="0D0D0D" w:themeColor="text1" w:themeTint="F2"/>
                <w:szCs w:val="24"/>
              </w:rPr>
              <w:t>% A2+</w:t>
            </w:r>
          </w:p>
          <w:p w14:paraId="2A7D54F4" w14:textId="4FF3735C" w:rsidR="00E66558" w:rsidRPr="00B75329" w:rsidRDefault="007E5BE1" w:rsidP="3F205C40">
            <w:pPr>
              <w:pStyle w:val="TableRowCentered"/>
              <w:jc w:val="left"/>
              <w:rPr>
                <w:rFonts w:cs="Arial"/>
                <w:color w:val="0D0D0D" w:themeColor="text1" w:themeTint="F2"/>
                <w:szCs w:val="24"/>
              </w:rPr>
            </w:pPr>
            <w:r w:rsidRPr="00B75329">
              <w:rPr>
                <w:rFonts w:cs="Arial"/>
                <w:color w:val="0D0D0D" w:themeColor="text1" w:themeTint="F2"/>
                <w:szCs w:val="24"/>
              </w:rPr>
              <w:lastRenderedPageBreak/>
              <w:t>Pupil premium: 44% E2+, 2</w:t>
            </w:r>
            <w:r w:rsidR="690A09CC" w:rsidRPr="00B75329">
              <w:rPr>
                <w:rFonts w:cs="Arial"/>
                <w:color w:val="0D0D0D" w:themeColor="text1" w:themeTint="F2"/>
                <w:szCs w:val="24"/>
              </w:rPr>
              <w:t>% A2+</w:t>
            </w:r>
          </w:p>
        </w:tc>
      </w:tr>
      <w:tr w:rsidR="00E66558" w:rsidRPr="00B75329" w14:paraId="2A7D54F8" w14:textId="77777777" w:rsidTr="6FFE2133">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1C1FD744" w:rsidR="00E66558" w:rsidRPr="00B75329" w:rsidRDefault="37C211EC">
            <w:pPr>
              <w:pStyle w:val="TableRow"/>
              <w:rPr>
                <w:rFonts w:cs="Arial"/>
                <w:sz w:val="22"/>
                <w:szCs w:val="22"/>
              </w:rPr>
            </w:pPr>
            <w:r w:rsidRPr="00B75329">
              <w:rPr>
                <w:rFonts w:cs="Arial"/>
                <w:sz w:val="22"/>
                <w:szCs w:val="22"/>
              </w:rPr>
              <w:lastRenderedPageBreak/>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9D0561" w14:textId="7319F222" w:rsidR="00E66558" w:rsidRPr="00B75329" w:rsidRDefault="007E5BE1" w:rsidP="00BE4FD6">
            <w:pPr>
              <w:pStyle w:val="TableRowCentered"/>
              <w:jc w:val="left"/>
              <w:rPr>
                <w:rFonts w:cs="Arial"/>
              </w:rPr>
            </w:pPr>
            <w:r w:rsidRPr="00B75329">
              <w:rPr>
                <w:rFonts w:cs="Arial"/>
              </w:rPr>
              <w:t xml:space="preserve">Mental health and wellbeing continues to be a focus this year at school, for all learners. </w:t>
            </w:r>
          </w:p>
          <w:p w14:paraId="2A7D54F7" w14:textId="32CF6368" w:rsidR="00E66558" w:rsidRPr="00B75329" w:rsidRDefault="5F9A38EF" w:rsidP="6FFE2133">
            <w:pPr>
              <w:pStyle w:val="TableRowCentered"/>
              <w:jc w:val="left"/>
              <w:rPr>
                <w:rFonts w:cs="Arial"/>
              </w:rPr>
            </w:pPr>
            <w:r w:rsidRPr="00B75329">
              <w:rPr>
                <w:rFonts w:cs="Arial"/>
              </w:rPr>
              <w:t>We have utilised PiXL Wellbeing and character analysis tools in all year groups to identify our strengths and areas for development an</w:t>
            </w:r>
            <w:r w:rsidR="65E4739A" w:rsidRPr="00B75329">
              <w:rPr>
                <w:rFonts w:cs="Arial"/>
              </w:rPr>
              <w:t>d have identified focus elements for staff to address within the curriculum.</w:t>
            </w:r>
          </w:p>
        </w:tc>
      </w:tr>
      <w:tr w:rsidR="00E66558" w:rsidRPr="00B75329" w14:paraId="2A7D54FB" w14:textId="77777777" w:rsidTr="6FFE2133">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6648E519" w:rsidR="00E66558" w:rsidRPr="00B75329" w:rsidRDefault="6C84619E">
            <w:pPr>
              <w:pStyle w:val="TableRow"/>
              <w:rPr>
                <w:rFonts w:cs="Arial"/>
                <w:sz w:val="22"/>
                <w:szCs w:val="22"/>
              </w:rPr>
            </w:pPr>
            <w:r w:rsidRPr="00B75329">
              <w:rPr>
                <w:rFonts w:cs="Arial"/>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53A5EE1A" w:rsidR="00E66558" w:rsidRPr="00B75329" w:rsidRDefault="684ED3A9" w:rsidP="007E5BE1">
            <w:pPr>
              <w:suppressAutoHyphens w:val="0"/>
              <w:autoSpaceDN/>
              <w:spacing w:before="60" w:after="240" w:line="240" w:lineRule="auto"/>
              <w:ind w:left="57" w:right="57"/>
              <w:rPr>
                <w:rFonts w:cs="Arial"/>
                <w:color w:val="auto"/>
                <w:lang w:val="en-US"/>
              </w:rPr>
            </w:pPr>
            <w:r w:rsidRPr="00B75329">
              <w:rPr>
                <w:rFonts w:cs="Arial"/>
                <w:color w:val="auto"/>
                <w:lang w:val="en-US"/>
              </w:rPr>
              <w:t>F</w:t>
            </w:r>
            <w:r w:rsidR="39642E9C" w:rsidRPr="00B75329">
              <w:rPr>
                <w:rFonts w:cs="Arial"/>
                <w:color w:val="auto"/>
                <w:lang w:val="en-US"/>
              </w:rPr>
              <w:t xml:space="preserve">or many pupils </w:t>
            </w:r>
            <w:r w:rsidR="3B74E55D" w:rsidRPr="00B75329">
              <w:rPr>
                <w:rFonts w:cs="Arial"/>
                <w:color w:val="auto"/>
                <w:lang w:val="en-US"/>
              </w:rPr>
              <w:t xml:space="preserve">there </w:t>
            </w:r>
            <w:r w:rsidR="007E5BE1" w:rsidRPr="00B75329">
              <w:rPr>
                <w:rFonts w:cs="Arial"/>
                <w:color w:val="auto"/>
                <w:lang w:val="en-US"/>
              </w:rPr>
              <w:t xml:space="preserve">is </w:t>
            </w:r>
            <w:r w:rsidR="3B74E55D" w:rsidRPr="00B75329">
              <w:rPr>
                <w:rFonts w:cs="Arial"/>
                <w:color w:val="auto"/>
                <w:lang w:val="en-US"/>
              </w:rPr>
              <w:t xml:space="preserve">a </w:t>
            </w:r>
            <w:r w:rsidR="39642E9C" w:rsidRPr="00B75329">
              <w:rPr>
                <w:rFonts w:cs="Arial"/>
                <w:color w:val="auto"/>
                <w:lang w:val="en-US"/>
              </w:rPr>
              <w:t>lack of enr</w:t>
            </w:r>
            <w:r w:rsidR="007E5BE1" w:rsidRPr="00B75329">
              <w:rPr>
                <w:rFonts w:cs="Arial"/>
                <w:color w:val="auto"/>
                <w:lang w:val="en-US"/>
              </w:rPr>
              <w:t xml:space="preserve">ichment opportunities. </w:t>
            </w:r>
            <w:r w:rsidR="3B584B9C" w:rsidRPr="00B75329">
              <w:rPr>
                <w:rFonts w:cs="Arial"/>
                <w:color w:val="auto"/>
                <w:lang w:val="en-US"/>
              </w:rPr>
              <w:t xml:space="preserve">This has </w:t>
            </w:r>
            <w:r w:rsidR="007E5BE1" w:rsidRPr="00B75329">
              <w:rPr>
                <w:rFonts w:cs="Arial"/>
                <w:color w:val="auto"/>
                <w:lang w:val="en-US"/>
              </w:rPr>
              <w:t xml:space="preserve">an </w:t>
            </w:r>
            <w:r w:rsidR="3B584B9C" w:rsidRPr="00B75329">
              <w:rPr>
                <w:rFonts w:cs="Arial"/>
                <w:color w:val="auto"/>
                <w:lang w:val="en-US"/>
              </w:rPr>
              <w:t>impact on the</w:t>
            </w:r>
            <w:r w:rsidR="39642E9C" w:rsidRPr="00B75329">
              <w:rPr>
                <w:rFonts w:cs="Arial"/>
                <w:color w:val="auto"/>
                <w:lang w:val="en-US"/>
              </w:rPr>
              <w:t xml:space="preserve"> mental health and wellbeing of disadvantaged pupils</w:t>
            </w:r>
            <w:r w:rsidR="265177E3" w:rsidRPr="00B75329">
              <w:rPr>
                <w:rFonts w:cs="Arial"/>
                <w:color w:val="auto"/>
                <w:lang w:val="en-US"/>
              </w:rPr>
              <w:t xml:space="preserve">. </w:t>
            </w:r>
          </w:p>
        </w:tc>
      </w:tr>
      <w:tr w:rsidR="00E66558" w:rsidRPr="00B75329" w14:paraId="2A7D54FE" w14:textId="77777777" w:rsidTr="6FFE2133">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ACD7104" w:rsidR="00E66558" w:rsidRPr="00B75329" w:rsidRDefault="51F97410">
            <w:pPr>
              <w:pStyle w:val="TableRow"/>
              <w:rPr>
                <w:rFonts w:cs="Arial"/>
                <w:sz w:val="22"/>
                <w:szCs w:val="22"/>
              </w:rPr>
            </w:pPr>
            <w:bookmarkStart w:id="17" w:name="_Toc443397160"/>
            <w:r w:rsidRPr="00B75329">
              <w:rPr>
                <w:rFonts w:cs="Arial"/>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7CC5C919" w:rsidR="00E66558" w:rsidRPr="00B75329" w:rsidRDefault="111DC406" w:rsidP="3F205C40">
            <w:pPr>
              <w:suppressAutoHyphens w:val="0"/>
              <w:autoSpaceDN/>
              <w:spacing w:before="60" w:after="120" w:line="240" w:lineRule="auto"/>
              <w:ind w:left="57" w:right="57"/>
              <w:rPr>
                <w:rFonts w:cs="Arial"/>
                <w:color w:val="auto"/>
                <w:lang w:val="en-US"/>
              </w:rPr>
            </w:pPr>
            <w:r w:rsidRPr="00B75329">
              <w:rPr>
                <w:rFonts w:cs="Arial"/>
                <w:color w:val="auto"/>
                <w:lang w:val="en-US"/>
              </w:rPr>
              <w:t xml:space="preserve">The </w:t>
            </w:r>
            <w:r w:rsidR="3730B3EB" w:rsidRPr="00B75329">
              <w:rPr>
                <w:rFonts w:cs="Arial"/>
                <w:color w:val="auto"/>
                <w:lang w:val="en-US"/>
              </w:rPr>
              <w:t xml:space="preserve">overall </w:t>
            </w:r>
            <w:r w:rsidRPr="00B75329">
              <w:rPr>
                <w:rFonts w:cs="Arial"/>
                <w:color w:val="auto"/>
                <w:lang w:val="en-US"/>
              </w:rPr>
              <w:t xml:space="preserve">attendance of our pupil premium children is lower </w:t>
            </w:r>
            <w:r w:rsidR="7EF2651D" w:rsidRPr="00B75329">
              <w:rPr>
                <w:rFonts w:cs="Arial"/>
                <w:color w:val="auto"/>
                <w:lang w:val="en-US"/>
              </w:rPr>
              <w:t xml:space="preserve">(-5%) </w:t>
            </w:r>
            <w:r w:rsidRPr="00B75329">
              <w:rPr>
                <w:rFonts w:cs="Arial"/>
                <w:color w:val="auto"/>
                <w:lang w:val="en-US"/>
              </w:rPr>
              <w:t>than our non-pupil premium children</w:t>
            </w:r>
            <w:r w:rsidR="7C0E87F5" w:rsidRPr="00B75329">
              <w:rPr>
                <w:rFonts w:cs="Arial"/>
                <w:color w:val="auto"/>
                <w:lang w:val="en-US"/>
              </w:rPr>
              <w:t xml:space="preserve">, with a higher rate of </w:t>
            </w:r>
            <w:proofErr w:type="spellStart"/>
            <w:r w:rsidR="7C0E87F5" w:rsidRPr="00B75329">
              <w:rPr>
                <w:rFonts w:cs="Arial"/>
                <w:color w:val="auto"/>
                <w:lang w:val="en-US"/>
              </w:rPr>
              <w:t>authorised</w:t>
            </w:r>
            <w:proofErr w:type="spellEnd"/>
            <w:r w:rsidR="7C0E87F5" w:rsidRPr="00B75329">
              <w:rPr>
                <w:rFonts w:cs="Arial"/>
                <w:color w:val="auto"/>
                <w:lang w:val="en-US"/>
              </w:rPr>
              <w:t xml:space="preserve"> absence.</w:t>
            </w:r>
          </w:p>
        </w:tc>
      </w:tr>
    </w:tbl>
    <w:p w14:paraId="2A7D54FF" w14:textId="49AACFE0" w:rsidR="00E66558" w:rsidRPr="00B75329" w:rsidRDefault="009D71E8">
      <w:pPr>
        <w:pStyle w:val="Heading2"/>
        <w:spacing w:before="600"/>
        <w:rPr>
          <w:rFonts w:cs="Arial"/>
        </w:rPr>
      </w:pPr>
      <w:r w:rsidRPr="00B75329">
        <w:rPr>
          <w:rFonts w:cs="Arial"/>
        </w:rPr>
        <w:t xml:space="preserve">Intended outcomes </w:t>
      </w:r>
    </w:p>
    <w:p w14:paraId="2A7D5500" w14:textId="61D0F15A" w:rsidR="00E66558" w:rsidRPr="00B75329" w:rsidRDefault="009D71E8">
      <w:pPr>
        <w:rPr>
          <w:rFonts w:cs="Arial"/>
        </w:rPr>
      </w:pPr>
      <w:r w:rsidRPr="00B75329">
        <w:rPr>
          <w:rFonts w:cs="Arial"/>
          <w:color w:val="auto"/>
        </w:rPr>
        <w:t xml:space="preserve">This explains the outcomes we are aiming for by </w:t>
      </w:r>
      <w:r w:rsidR="03E012F9" w:rsidRPr="00B75329">
        <w:rPr>
          <w:rFonts w:cs="Arial"/>
          <w:color w:val="auto"/>
        </w:rPr>
        <w:t>our next review date</w:t>
      </w:r>
      <w:r w:rsidRPr="00B75329">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B75329" w14:paraId="2A7D5503" w14:textId="77777777" w:rsidTr="34F9AF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B75329" w:rsidRDefault="009D71E8">
            <w:pPr>
              <w:pStyle w:val="TableHeader"/>
              <w:jc w:val="left"/>
              <w:rPr>
                <w:rFonts w:cs="Arial"/>
              </w:rPr>
            </w:pPr>
            <w:r w:rsidRPr="00B75329">
              <w:rPr>
                <w:rFonts w:cs="Arial"/>
              </w:rP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B75329" w:rsidRDefault="009D71E8">
            <w:pPr>
              <w:pStyle w:val="TableHeader"/>
              <w:jc w:val="left"/>
              <w:rPr>
                <w:rFonts w:cs="Arial"/>
              </w:rPr>
            </w:pPr>
            <w:r w:rsidRPr="00B75329">
              <w:rPr>
                <w:rFonts w:cs="Arial"/>
              </w:rPr>
              <w:t>Success criteria</w:t>
            </w:r>
          </w:p>
        </w:tc>
      </w:tr>
      <w:tr w:rsidR="00E66558" w:rsidRPr="00B75329" w14:paraId="2A7D5506" w14:textId="77777777" w:rsidTr="34F9AF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224BF3" w14:textId="77777777" w:rsidR="00E66558" w:rsidRPr="00B75329" w:rsidRDefault="005E1B33" w:rsidP="005E1B33">
            <w:pPr>
              <w:pStyle w:val="TableRow"/>
              <w:ind w:left="0"/>
              <w:rPr>
                <w:rFonts w:cs="Arial"/>
              </w:rPr>
            </w:pPr>
            <w:r w:rsidRPr="00B75329">
              <w:rPr>
                <w:rFonts w:cs="Arial"/>
              </w:rPr>
              <w:t xml:space="preserve">Improved progress and attainment of pupil premium students in all year groups </w:t>
            </w:r>
          </w:p>
          <w:p w14:paraId="2A7D5504" w14:textId="642F4BB5" w:rsidR="00E852C7" w:rsidRPr="00B75329" w:rsidRDefault="00E852C7" w:rsidP="3F205C40">
            <w:pPr>
              <w:pStyle w:val="TableRow"/>
              <w:ind w:left="0"/>
              <w:rPr>
                <w:rFonts w:cs="Arial"/>
                <w:highlight w:val="magenta"/>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1D0838" w14:textId="17A537F8" w:rsidR="000C3D7F" w:rsidRPr="00B75329" w:rsidRDefault="47797324" w:rsidP="3577CD6D">
            <w:pPr>
              <w:pStyle w:val="TableRowCentered"/>
              <w:spacing w:after="120"/>
              <w:jc w:val="left"/>
              <w:rPr>
                <w:rFonts w:cs="Arial"/>
                <w:color w:val="auto"/>
                <w:lang w:eastAsia="en-US"/>
              </w:rPr>
            </w:pPr>
            <w:r w:rsidRPr="00B75329">
              <w:rPr>
                <w:rFonts w:cs="Arial"/>
                <w:color w:val="auto"/>
              </w:rPr>
              <w:t>Years</w:t>
            </w:r>
            <w:r w:rsidR="21510CCB" w:rsidRPr="00B75329">
              <w:rPr>
                <w:rFonts w:cs="Arial"/>
                <w:color w:val="auto"/>
              </w:rPr>
              <w:t xml:space="preserve"> </w:t>
            </w:r>
            <w:r w:rsidRPr="00B75329">
              <w:rPr>
                <w:rFonts w:cs="Arial"/>
                <w:color w:val="auto"/>
              </w:rPr>
              <w:t xml:space="preserve">1-6 </w:t>
            </w:r>
            <w:r w:rsidR="21510CCB" w:rsidRPr="00B75329">
              <w:rPr>
                <w:rFonts w:cs="Arial"/>
                <w:color w:val="auto"/>
                <w:lang w:eastAsia="en-US"/>
              </w:rPr>
              <w:t>outcomes in 202</w:t>
            </w:r>
            <w:r w:rsidR="007E5BE1" w:rsidRPr="00B75329">
              <w:rPr>
                <w:rFonts w:cs="Arial"/>
                <w:color w:val="auto"/>
                <w:lang w:eastAsia="en-US"/>
              </w:rPr>
              <w:t>4</w:t>
            </w:r>
            <w:r w:rsidR="21510CCB" w:rsidRPr="00B75329">
              <w:rPr>
                <w:rFonts w:cs="Arial"/>
                <w:color w:val="auto"/>
                <w:lang w:eastAsia="en-US"/>
              </w:rPr>
              <w:t xml:space="preserve"> </w:t>
            </w:r>
            <w:r w:rsidR="0D7DBD5C" w:rsidRPr="00B75329">
              <w:rPr>
                <w:rFonts w:cs="Arial"/>
                <w:color w:val="auto"/>
                <w:lang w:eastAsia="en-US"/>
              </w:rPr>
              <w:t>demonstrate</w:t>
            </w:r>
            <w:r w:rsidR="21510CCB" w:rsidRPr="00B75329">
              <w:rPr>
                <w:rFonts w:cs="Arial"/>
                <w:color w:val="auto"/>
                <w:lang w:eastAsia="en-US"/>
              </w:rPr>
              <w:t xml:space="preserve"> that</w:t>
            </w:r>
            <w:r w:rsidR="0D7DBD5C" w:rsidRPr="00B75329">
              <w:rPr>
                <w:rFonts w:cs="Arial"/>
                <w:color w:val="auto"/>
                <w:lang w:eastAsia="en-US"/>
              </w:rPr>
              <w:t>:</w:t>
            </w:r>
          </w:p>
          <w:p w14:paraId="2A7D5505" w14:textId="706FD6C4" w:rsidR="00E66558" w:rsidRPr="00B75329" w:rsidRDefault="486FC3D9" w:rsidP="3F205C40">
            <w:pPr>
              <w:pStyle w:val="TableRowCentered"/>
              <w:numPr>
                <w:ilvl w:val="0"/>
                <w:numId w:val="20"/>
              </w:numPr>
              <w:spacing w:after="120"/>
              <w:jc w:val="left"/>
              <w:rPr>
                <w:rFonts w:cs="Arial"/>
                <w:color w:val="auto"/>
                <w:lang w:eastAsia="en-US"/>
              </w:rPr>
            </w:pPr>
            <w:r w:rsidRPr="00B75329">
              <w:rPr>
                <w:rStyle w:val="CommentReference"/>
                <w:rFonts w:cs="Arial"/>
                <w:color w:val="auto"/>
              </w:rPr>
              <w:t>m</w:t>
            </w:r>
            <w:r w:rsidR="21510CCB" w:rsidRPr="00B75329">
              <w:rPr>
                <w:rStyle w:val="CommentReference"/>
                <w:rFonts w:cs="Arial"/>
                <w:color w:val="auto"/>
              </w:rPr>
              <w:t xml:space="preserve">ore than </w:t>
            </w:r>
            <w:r w:rsidR="7AEF0C83" w:rsidRPr="00B75329">
              <w:rPr>
                <w:rStyle w:val="CommentReference"/>
                <w:rFonts w:cs="Arial"/>
                <w:color w:val="auto"/>
              </w:rPr>
              <w:t>8</w:t>
            </w:r>
            <w:r w:rsidR="168B958B" w:rsidRPr="00B75329">
              <w:rPr>
                <w:rStyle w:val="CommentReference"/>
                <w:rFonts w:cs="Arial"/>
                <w:color w:val="auto"/>
              </w:rPr>
              <w:t>0%</w:t>
            </w:r>
            <w:r w:rsidR="21510CCB" w:rsidRPr="00B75329">
              <w:rPr>
                <w:rStyle w:val="CommentReference"/>
                <w:rFonts w:cs="Arial"/>
                <w:color w:val="auto"/>
              </w:rPr>
              <w:t xml:space="preserve"> of disadvantaged pupils met the expected standard</w:t>
            </w:r>
            <w:r w:rsidR="4AA1C754" w:rsidRPr="00B75329">
              <w:rPr>
                <w:rStyle w:val="CommentReference"/>
                <w:rFonts w:cs="Arial"/>
                <w:color w:val="auto"/>
              </w:rPr>
              <w:t xml:space="preserve"> in line with our aspirational target for all children</w:t>
            </w:r>
          </w:p>
        </w:tc>
      </w:tr>
      <w:tr w:rsidR="00E66558" w:rsidRPr="00B75329" w14:paraId="2A7D5509" w14:textId="77777777" w:rsidTr="34F9AF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31C2DDFB" w:rsidR="00E66558" w:rsidRPr="00B75329" w:rsidRDefault="62C8CE6B" w:rsidP="005E1B33">
            <w:pPr>
              <w:pStyle w:val="TableRow"/>
              <w:ind w:left="0"/>
              <w:rPr>
                <w:rFonts w:cs="Arial"/>
              </w:rPr>
            </w:pPr>
            <w:r w:rsidRPr="00B75329">
              <w:rPr>
                <w:rFonts w:cs="Arial"/>
                <w:color w:val="auto"/>
              </w:rPr>
              <w:t xml:space="preserve">To achieve and sustain improved </w:t>
            </w:r>
            <w:r w:rsidR="00E852C7" w:rsidRPr="00B75329">
              <w:rPr>
                <w:rFonts w:cs="Arial"/>
                <w:color w:val="auto"/>
              </w:rPr>
              <w:t xml:space="preserve">mental health and </w:t>
            </w:r>
            <w:r w:rsidRPr="00B75329">
              <w:rPr>
                <w:rFonts w:cs="Arial"/>
                <w:color w:val="auto"/>
              </w:rPr>
              <w:t>wellbeing for pupi</w:t>
            </w:r>
            <w:r w:rsidR="0E349314" w:rsidRPr="00B75329">
              <w:rPr>
                <w:rFonts w:cs="Arial"/>
                <w:color w:val="auto"/>
              </w:rPr>
              <w:t xml:space="preserve">l premium children.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7FAACF" w14:textId="6E68E9A4" w:rsidR="000C3D7F" w:rsidRPr="00B75329" w:rsidRDefault="74B75E23" w:rsidP="000C3D7F">
            <w:pPr>
              <w:suppressAutoHyphens w:val="0"/>
              <w:autoSpaceDN/>
              <w:spacing w:before="60" w:after="60" w:line="240" w:lineRule="auto"/>
              <w:ind w:left="34" w:right="57"/>
              <w:rPr>
                <w:rFonts w:cs="Arial"/>
                <w:color w:val="auto"/>
              </w:rPr>
            </w:pPr>
            <w:r w:rsidRPr="00B75329">
              <w:rPr>
                <w:rFonts w:cs="Arial"/>
                <w:color w:val="auto"/>
              </w:rPr>
              <w:t>Sustained high levels of wellbeing from 202</w:t>
            </w:r>
            <w:r w:rsidR="007E5BE1" w:rsidRPr="00B75329">
              <w:rPr>
                <w:rFonts w:cs="Arial"/>
                <w:color w:val="auto"/>
              </w:rPr>
              <w:t>3/24</w:t>
            </w:r>
            <w:r w:rsidRPr="00B75329">
              <w:rPr>
                <w:rFonts w:cs="Arial"/>
                <w:color w:val="auto"/>
              </w:rPr>
              <w:t xml:space="preserve"> </w:t>
            </w:r>
            <w:r w:rsidR="180D4727" w:rsidRPr="00B75329">
              <w:rPr>
                <w:rFonts w:cs="Arial"/>
                <w:color w:val="auto"/>
              </w:rPr>
              <w:t>evidenced by</w:t>
            </w:r>
            <w:r w:rsidRPr="00B75329">
              <w:rPr>
                <w:rFonts w:cs="Arial"/>
                <w:color w:val="auto"/>
              </w:rPr>
              <w:t>:</w:t>
            </w:r>
          </w:p>
          <w:p w14:paraId="5BA05011" w14:textId="2BCD81D6" w:rsidR="00940A85" w:rsidRPr="00B75329" w:rsidRDefault="74B75E23" w:rsidP="000C3D7F">
            <w:pPr>
              <w:pStyle w:val="ListParagraph"/>
              <w:numPr>
                <w:ilvl w:val="0"/>
                <w:numId w:val="20"/>
              </w:numPr>
              <w:suppressAutoHyphens w:val="0"/>
              <w:autoSpaceDN/>
              <w:spacing w:before="60" w:after="60" w:line="240" w:lineRule="auto"/>
              <w:ind w:right="57"/>
              <w:rPr>
                <w:rFonts w:cs="Arial"/>
                <w:color w:val="auto"/>
              </w:rPr>
            </w:pPr>
            <w:r w:rsidRPr="00B75329">
              <w:rPr>
                <w:rFonts w:cs="Arial"/>
                <w:color w:val="auto"/>
              </w:rPr>
              <w:t xml:space="preserve">qualitative data from </w:t>
            </w:r>
            <w:r w:rsidR="00E852C7" w:rsidRPr="00B75329">
              <w:rPr>
                <w:rFonts w:cs="Arial"/>
                <w:color w:val="auto"/>
              </w:rPr>
              <w:t>pupil</w:t>
            </w:r>
            <w:r w:rsidRPr="00B75329">
              <w:rPr>
                <w:rFonts w:cs="Arial"/>
                <w:color w:val="auto"/>
              </w:rPr>
              <w:t xml:space="preserve"> voice, </w:t>
            </w:r>
            <w:r w:rsidR="7774B6F2" w:rsidRPr="00B75329">
              <w:rPr>
                <w:rFonts w:cs="Arial"/>
                <w:color w:val="auto"/>
              </w:rPr>
              <w:t>p</w:t>
            </w:r>
            <w:r w:rsidR="00E852C7" w:rsidRPr="00B75329">
              <w:rPr>
                <w:rFonts w:cs="Arial"/>
                <w:color w:val="auto"/>
              </w:rPr>
              <w:t>upil</w:t>
            </w:r>
            <w:r w:rsidRPr="00B75329">
              <w:rPr>
                <w:rFonts w:cs="Arial"/>
                <w:color w:val="auto"/>
              </w:rPr>
              <w:t xml:space="preserve"> and parent surveys</w:t>
            </w:r>
            <w:r w:rsidR="59AC026A" w:rsidRPr="00B75329">
              <w:rPr>
                <w:rFonts w:cs="Arial"/>
                <w:color w:val="auto"/>
              </w:rPr>
              <w:t>, teacher observations</w:t>
            </w:r>
            <w:r w:rsidR="1617B3C3" w:rsidRPr="00B75329">
              <w:rPr>
                <w:rFonts w:cs="Arial"/>
                <w:color w:val="auto"/>
              </w:rPr>
              <w:t>,</w:t>
            </w:r>
            <w:r w:rsidR="59AC026A" w:rsidRPr="00B75329">
              <w:rPr>
                <w:rFonts w:cs="Arial"/>
                <w:color w:val="auto"/>
              </w:rPr>
              <w:t xml:space="preserve"> and PiXL </w:t>
            </w:r>
            <w:r w:rsidR="0A91C704" w:rsidRPr="00B75329">
              <w:rPr>
                <w:rFonts w:cs="Arial"/>
                <w:color w:val="auto"/>
              </w:rPr>
              <w:t>strategies (TCCs and HQ)</w:t>
            </w:r>
          </w:p>
          <w:p w14:paraId="2A7D5508" w14:textId="77777777" w:rsidR="00E66558" w:rsidRPr="00B75329" w:rsidRDefault="00E66558">
            <w:pPr>
              <w:pStyle w:val="TableRowCentered"/>
              <w:jc w:val="left"/>
              <w:rPr>
                <w:rFonts w:cs="Arial"/>
                <w:sz w:val="22"/>
                <w:szCs w:val="22"/>
              </w:rPr>
            </w:pPr>
          </w:p>
        </w:tc>
      </w:tr>
      <w:tr w:rsidR="00E66558" w:rsidRPr="00B75329" w14:paraId="2A7D550C" w14:textId="77777777" w:rsidTr="34F9AF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1074438" w:rsidR="00E66558" w:rsidRPr="00B75329" w:rsidRDefault="0A91C704" w:rsidP="3F205C40">
            <w:pPr>
              <w:pStyle w:val="TableRow"/>
              <w:ind w:left="0"/>
              <w:rPr>
                <w:rFonts w:cs="Arial"/>
                <w:highlight w:val="magenta"/>
              </w:rPr>
            </w:pPr>
            <w:r w:rsidRPr="00B75329">
              <w:rPr>
                <w:rFonts w:cs="Arial"/>
              </w:rPr>
              <w:t>Increased o</w:t>
            </w:r>
            <w:r w:rsidR="62C8CE6B" w:rsidRPr="00B75329">
              <w:rPr>
                <w:rFonts w:cs="Arial"/>
              </w:rPr>
              <w:t>pportunities for enrichment, activities and basic life skills for pupil premium students</w:t>
            </w:r>
            <w:r w:rsidR="4F4522E7" w:rsidRPr="00B75329">
              <w:rPr>
                <w:rFonts w:cs="Arial"/>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2524E0" w14:textId="6CD97CC8" w:rsidR="000C3D7F" w:rsidRPr="00B75329" w:rsidRDefault="6BD386DD">
            <w:pPr>
              <w:pStyle w:val="TableRowCentered"/>
              <w:jc w:val="left"/>
              <w:rPr>
                <w:rFonts w:cs="Arial"/>
              </w:rPr>
            </w:pPr>
            <w:r w:rsidRPr="00B75329">
              <w:rPr>
                <w:rFonts w:cs="Arial"/>
              </w:rPr>
              <w:t>Our curriculum reflects a wide range of activities to support this intended outcome evidenced</w:t>
            </w:r>
            <w:r w:rsidR="75664BE6" w:rsidRPr="00B75329">
              <w:rPr>
                <w:rFonts w:cs="Arial"/>
              </w:rPr>
              <w:t xml:space="preserve"> by:</w:t>
            </w:r>
            <w:r w:rsidRPr="00B75329">
              <w:rPr>
                <w:rFonts w:cs="Arial"/>
              </w:rPr>
              <w:t xml:space="preserve"> </w:t>
            </w:r>
          </w:p>
          <w:p w14:paraId="104D8D25" w14:textId="7CD67F8B" w:rsidR="000C3D7F" w:rsidRPr="00B75329" w:rsidRDefault="6BD386DD" w:rsidP="3F205C40">
            <w:pPr>
              <w:pStyle w:val="TableRowCentered"/>
              <w:numPr>
                <w:ilvl w:val="0"/>
                <w:numId w:val="3"/>
              </w:numPr>
              <w:jc w:val="left"/>
              <w:rPr>
                <w:rFonts w:eastAsia="Arial" w:cs="Arial"/>
                <w:color w:val="0D0D0D" w:themeColor="text1" w:themeTint="F2"/>
                <w:szCs w:val="24"/>
              </w:rPr>
            </w:pPr>
            <w:r w:rsidRPr="00B75329">
              <w:rPr>
                <w:rFonts w:cs="Arial"/>
              </w:rPr>
              <w:t>t</w:t>
            </w:r>
            <w:r w:rsidR="0FAD42EA" w:rsidRPr="00B75329">
              <w:rPr>
                <w:rFonts w:cs="Arial"/>
              </w:rPr>
              <w:t>riangulated monitoring activity (planning</w:t>
            </w:r>
            <w:r w:rsidR="6EFFB582" w:rsidRPr="00B75329">
              <w:rPr>
                <w:rFonts w:cs="Arial"/>
              </w:rPr>
              <w:t xml:space="preserve"> and delivering</w:t>
            </w:r>
            <w:r w:rsidR="0FAD42EA" w:rsidRPr="00B75329">
              <w:rPr>
                <w:rFonts w:cs="Arial"/>
              </w:rPr>
              <w:t>, pupil voice and evidence</w:t>
            </w:r>
            <w:r w:rsidR="737A128C" w:rsidRPr="00B75329">
              <w:rPr>
                <w:rFonts w:cs="Arial"/>
              </w:rPr>
              <w:t>)</w:t>
            </w:r>
          </w:p>
          <w:p w14:paraId="2A7D550B" w14:textId="0266D921" w:rsidR="00370C06" w:rsidRPr="00B75329" w:rsidRDefault="00370C06" w:rsidP="00370C06">
            <w:pPr>
              <w:pStyle w:val="TableRowCentered"/>
              <w:ind w:left="417"/>
              <w:jc w:val="left"/>
              <w:rPr>
                <w:rFonts w:cs="Arial"/>
                <w:sz w:val="22"/>
                <w:szCs w:val="22"/>
              </w:rPr>
            </w:pPr>
          </w:p>
        </w:tc>
      </w:tr>
      <w:tr w:rsidR="00E66558" w:rsidRPr="00B75329" w14:paraId="2A7D550F" w14:textId="77777777" w:rsidTr="34F9AF4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231060" w14:textId="7D392D00" w:rsidR="00E66558" w:rsidRPr="00B75329" w:rsidRDefault="62C8CE6B">
            <w:pPr>
              <w:pStyle w:val="TableRow"/>
              <w:rPr>
                <w:rFonts w:cs="Arial"/>
              </w:rPr>
            </w:pPr>
            <w:r w:rsidRPr="00B75329">
              <w:rPr>
                <w:rFonts w:cs="Arial"/>
              </w:rPr>
              <w:t>To achieve</w:t>
            </w:r>
            <w:r w:rsidR="7E74DECD" w:rsidRPr="00B75329">
              <w:rPr>
                <w:rFonts w:cs="Arial"/>
              </w:rPr>
              <w:t xml:space="preserve"> </w:t>
            </w:r>
            <w:r w:rsidR="52B90BDF" w:rsidRPr="00B75329">
              <w:rPr>
                <w:rFonts w:cs="Arial"/>
              </w:rPr>
              <w:t xml:space="preserve">and sustain </w:t>
            </w:r>
            <w:r w:rsidRPr="00B75329">
              <w:rPr>
                <w:rFonts w:cs="Arial"/>
              </w:rPr>
              <w:t xml:space="preserve">improved attendance for </w:t>
            </w:r>
            <w:r w:rsidR="60675BCD" w:rsidRPr="00B75329">
              <w:rPr>
                <w:rFonts w:cs="Arial"/>
              </w:rPr>
              <w:t xml:space="preserve">our pupil </w:t>
            </w:r>
            <w:r w:rsidR="5E8C65A2" w:rsidRPr="00B75329">
              <w:rPr>
                <w:rFonts w:cs="Arial"/>
              </w:rPr>
              <w:t>premium children.</w:t>
            </w:r>
          </w:p>
          <w:p w14:paraId="2A7D550D" w14:textId="38B5AA41" w:rsidR="00370C06" w:rsidRPr="00B75329" w:rsidRDefault="00370C06" w:rsidP="3F205C40">
            <w:pPr>
              <w:pStyle w:val="TableRow"/>
              <w:ind w:left="0"/>
              <w:rPr>
                <w:rFonts w:cs="Arial"/>
                <w:color w:val="0D0D0D" w:themeColor="text1" w:themeTint="F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A79363" w14:textId="221BDEB3" w:rsidR="000C3D7F" w:rsidRPr="00B75329" w:rsidRDefault="74B75E23" w:rsidP="000C3D7F">
            <w:pPr>
              <w:suppressAutoHyphens w:val="0"/>
              <w:autoSpaceDN/>
              <w:spacing w:before="60" w:after="60" w:line="240" w:lineRule="auto"/>
              <w:ind w:left="57" w:right="57"/>
              <w:rPr>
                <w:rFonts w:cs="Arial"/>
                <w:color w:val="auto"/>
              </w:rPr>
            </w:pPr>
            <w:r w:rsidRPr="00B75329">
              <w:rPr>
                <w:rFonts w:cs="Arial"/>
                <w:color w:val="auto"/>
              </w:rPr>
              <w:t>Sustained high attendance from 202</w:t>
            </w:r>
            <w:r w:rsidR="003D43D5" w:rsidRPr="00B75329">
              <w:rPr>
                <w:rFonts w:cs="Arial"/>
                <w:color w:val="auto"/>
              </w:rPr>
              <w:t>3</w:t>
            </w:r>
            <w:r w:rsidRPr="00B75329">
              <w:rPr>
                <w:rFonts w:cs="Arial"/>
                <w:color w:val="auto"/>
              </w:rPr>
              <w:t>/2</w:t>
            </w:r>
            <w:r w:rsidR="003D43D5" w:rsidRPr="00B75329">
              <w:rPr>
                <w:rFonts w:cs="Arial"/>
                <w:color w:val="auto"/>
              </w:rPr>
              <w:t xml:space="preserve">4 </w:t>
            </w:r>
            <w:r w:rsidRPr="00B75329">
              <w:rPr>
                <w:rFonts w:cs="Arial"/>
                <w:color w:val="auto"/>
              </w:rPr>
              <w:t>demonstrated by:</w:t>
            </w:r>
          </w:p>
          <w:p w14:paraId="3E8DEB83" w14:textId="46C59240" w:rsidR="00940A85" w:rsidRPr="00B75329" w:rsidRDefault="74B75E23" w:rsidP="3F205C40">
            <w:pPr>
              <w:pStyle w:val="ListParagraph"/>
              <w:numPr>
                <w:ilvl w:val="0"/>
                <w:numId w:val="20"/>
              </w:numPr>
              <w:suppressAutoHyphens w:val="0"/>
              <w:autoSpaceDN/>
              <w:spacing w:before="60" w:after="60" w:line="240" w:lineRule="auto"/>
              <w:ind w:right="57"/>
              <w:rPr>
                <w:rFonts w:cs="Arial"/>
                <w:color w:val="auto"/>
              </w:rPr>
            </w:pPr>
            <w:r w:rsidRPr="00B75329">
              <w:rPr>
                <w:rFonts w:cs="Arial"/>
                <w:color w:val="auto"/>
              </w:rPr>
              <w:t>the overall absence rate for</w:t>
            </w:r>
            <w:r w:rsidR="1689D256" w:rsidRPr="00B75329">
              <w:rPr>
                <w:rFonts w:cs="Arial"/>
                <w:color w:val="auto"/>
              </w:rPr>
              <w:t xml:space="preserve"> pupil premium children is equal to or </w:t>
            </w:r>
            <w:r w:rsidR="1689D256" w:rsidRPr="00B75329">
              <w:rPr>
                <w:rFonts w:cs="Arial"/>
                <w:color w:val="auto"/>
              </w:rPr>
              <w:lastRenderedPageBreak/>
              <w:t>greater than non-pupil premium children</w:t>
            </w:r>
          </w:p>
          <w:p w14:paraId="2A7D550E" w14:textId="5711DAE2" w:rsidR="00E66558" w:rsidRPr="00B75329" w:rsidRDefault="00E66558" w:rsidP="00940A85">
            <w:pPr>
              <w:pStyle w:val="TableRowCentered"/>
              <w:jc w:val="left"/>
              <w:rPr>
                <w:rFonts w:cs="Arial"/>
                <w:sz w:val="22"/>
                <w:szCs w:val="22"/>
              </w:rPr>
            </w:pPr>
          </w:p>
        </w:tc>
      </w:tr>
    </w:tbl>
    <w:p w14:paraId="60BAD9F6" w14:textId="77777777" w:rsidR="00120AB1" w:rsidRPr="00B75329" w:rsidRDefault="00120AB1">
      <w:pPr>
        <w:pStyle w:val="Heading2"/>
        <w:rPr>
          <w:rFonts w:cs="Arial"/>
        </w:rPr>
      </w:pPr>
    </w:p>
    <w:p w14:paraId="2A06959E" w14:textId="77777777" w:rsidR="00120AB1" w:rsidRPr="00B75329" w:rsidRDefault="00120AB1">
      <w:pPr>
        <w:suppressAutoHyphens w:val="0"/>
        <w:spacing w:after="0" w:line="240" w:lineRule="auto"/>
        <w:rPr>
          <w:rFonts w:cs="Arial"/>
          <w:b/>
          <w:color w:val="104F75"/>
          <w:sz w:val="32"/>
          <w:szCs w:val="32"/>
        </w:rPr>
      </w:pPr>
      <w:r w:rsidRPr="00B75329">
        <w:rPr>
          <w:rFonts w:cs="Arial"/>
        </w:rPr>
        <w:br w:type="page"/>
      </w:r>
    </w:p>
    <w:p w14:paraId="2A7D5512" w14:textId="7B489199" w:rsidR="00E66558" w:rsidRPr="00B75329" w:rsidRDefault="009D71E8">
      <w:pPr>
        <w:pStyle w:val="Heading2"/>
        <w:rPr>
          <w:rFonts w:cs="Arial"/>
        </w:rPr>
      </w:pPr>
      <w:r w:rsidRPr="00B75329">
        <w:rPr>
          <w:rFonts w:cs="Arial"/>
        </w:rPr>
        <w:lastRenderedPageBreak/>
        <w:t>Activity in this academic year</w:t>
      </w:r>
    </w:p>
    <w:p w14:paraId="39EEB789" w14:textId="4C622A0F" w:rsidR="00E925CB" w:rsidRPr="00B75329" w:rsidRDefault="009D71E8" w:rsidP="00E925CB">
      <w:pPr>
        <w:spacing w:after="480"/>
        <w:rPr>
          <w:rFonts w:cs="Arial"/>
        </w:rPr>
      </w:pPr>
      <w:r w:rsidRPr="00B75329">
        <w:rPr>
          <w:rFonts w:cs="Arial"/>
        </w:rPr>
        <w:t>This details how we intend to spend our pupil premium</w:t>
      </w:r>
      <w:r w:rsidR="11E5640E" w:rsidRPr="00B75329">
        <w:rPr>
          <w:rFonts w:cs="Arial"/>
        </w:rPr>
        <w:t>,</w:t>
      </w:r>
      <w:r w:rsidR="435E8094" w:rsidRPr="00B75329">
        <w:rPr>
          <w:rFonts w:cs="Arial"/>
        </w:rPr>
        <w:t xml:space="preserve"> r</w:t>
      </w:r>
      <w:r w:rsidRPr="00B75329">
        <w:rPr>
          <w:rFonts w:cs="Arial"/>
        </w:rPr>
        <w:t>ecovery premium</w:t>
      </w:r>
      <w:r w:rsidR="7CCC1AD1" w:rsidRPr="00B75329">
        <w:rPr>
          <w:rFonts w:cs="Arial"/>
        </w:rPr>
        <w:t xml:space="preserve"> and school-led tutoring grant</w:t>
      </w:r>
      <w:r w:rsidRPr="00B75329">
        <w:rPr>
          <w:rFonts w:cs="Arial"/>
        </w:rPr>
        <w:t xml:space="preserve"> </w:t>
      </w:r>
      <w:r w:rsidR="3D7C1C52" w:rsidRPr="00B75329">
        <w:rPr>
          <w:rFonts w:cs="Arial"/>
        </w:rPr>
        <w:t>in 202</w:t>
      </w:r>
      <w:r w:rsidR="00D91673" w:rsidRPr="00B75329">
        <w:rPr>
          <w:rFonts w:cs="Arial"/>
        </w:rPr>
        <w:t>3</w:t>
      </w:r>
      <w:r w:rsidR="3D7C1C52" w:rsidRPr="00B75329">
        <w:rPr>
          <w:rFonts w:cs="Arial"/>
        </w:rPr>
        <w:t>/2</w:t>
      </w:r>
      <w:r w:rsidR="00D91673" w:rsidRPr="00B75329">
        <w:rPr>
          <w:rFonts w:cs="Arial"/>
        </w:rPr>
        <w:t>4</w:t>
      </w:r>
      <w:r w:rsidR="3D7C1C52" w:rsidRPr="00B75329">
        <w:rPr>
          <w:rFonts w:cs="Arial"/>
        </w:rPr>
        <w:t xml:space="preserve"> </w:t>
      </w:r>
      <w:r w:rsidRPr="00B75329">
        <w:rPr>
          <w:rFonts w:cs="Arial"/>
        </w:rPr>
        <w:t>to address the challenges listed above</w:t>
      </w:r>
      <w:r w:rsidR="3D407A0A" w:rsidRPr="00B75329">
        <w:rPr>
          <w:rFonts w:cs="Arial"/>
        </w:rPr>
        <w:t>.</w:t>
      </w:r>
    </w:p>
    <w:p w14:paraId="68EE365E" w14:textId="501A5957" w:rsidR="3D407A0A" w:rsidRPr="00B75329" w:rsidRDefault="3D407A0A" w:rsidP="3F205C40">
      <w:pPr>
        <w:rPr>
          <w:rFonts w:cs="Arial"/>
          <w:b/>
          <w:bCs/>
          <w:color w:val="104F75"/>
          <w:sz w:val="28"/>
          <w:szCs w:val="28"/>
        </w:rPr>
      </w:pPr>
      <w:r w:rsidRPr="00B75329">
        <w:rPr>
          <w:rFonts w:cs="Arial"/>
          <w:b/>
          <w:bCs/>
          <w:color w:val="104F75"/>
          <w:sz w:val="28"/>
          <w:szCs w:val="28"/>
        </w:rPr>
        <w:t>High Quality Teaching (Tier 1)</w:t>
      </w:r>
    </w:p>
    <w:p w14:paraId="2A7D5515" w14:textId="38F9B43A" w:rsidR="00E66558" w:rsidRPr="00B75329" w:rsidRDefault="009D71E8" w:rsidP="34F9AF46">
      <w:pPr>
        <w:pStyle w:val="TableRow"/>
        <w:rPr>
          <w:rFonts w:cs="Arial"/>
          <w:i/>
          <w:iCs/>
          <w:highlight w:val="magenta"/>
        </w:rPr>
      </w:pPr>
      <w:r w:rsidRPr="00B75329">
        <w:rPr>
          <w:rFonts w:cs="Arial"/>
        </w:rPr>
        <w:t xml:space="preserve">Budgeted cost: </w:t>
      </w:r>
    </w:p>
    <w:tbl>
      <w:tblPr>
        <w:tblW w:w="5160" w:type="pct"/>
        <w:tblInd w:w="-289" w:type="dxa"/>
        <w:tblCellMar>
          <w:left w:w="10" w:type="dxa"/>
          <w:right w:w="10" w:type="dxa"/>
        </w:tblCellMar>
        <w:tblLook w:val="04A0" w:firstRow="1" w:lastRow="0" w:firstColumn="1" w:lastColumn="0" w:noHBand="0" w:noVBand="1"/>
      </w:tblPr>
      <w:tblGrid>
        <w:gridCol w:w="2280"/>
        <w:gridCol w:w="5659"/>
        <w:gridCol w:w="1851"/>
      </w:tblGrid>
      <w:tr w:rsidR="00E66558" w:rsidRPr="00B75329" w14:paraId="2A7D5519" w14:textId="77777777" w:rsidTr="00B75DB7">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B75329" w:rsidRDefault="009D71E8">
            <w:pPr>
              <w:pStyle w:val="TableHeader"/>
              <w:jc w:val="left"/>
              <w:rPr>
                <w:rFonts w:cs="Arial"/>
              </w:rPr>
            </w:pPr>
            <w:r w:rsidRPr="00B75329">
              <w:rPr>
                <w:rFonts w:cs="Arial"/>
              </w:rPr>
              <w:t>Activity</w:t>
            </w:r>
          </w:p>
        </w:tc>
        <w:tc>
          <w:tcPr>
            <w:tcW w:w="5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B75329" w:rsidRDefault="009D71E8">
            <w:pPr>
              <w:pStyle w:val="TableHeader"/>
              <w:jc w:val="left"/>
              <w:rPr>
                <w:rFonts w:cs="Arial"/>
              </w:rPr>
            </w:pPr>
            <w:r w:rsidRPr="00B75329">
              <w:rPr>
                <w:rFonts w:cs="Arial"/>
              </w:rPr>
              <w:t>Evidence that supports this approach</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B75329" w:rsidRDefault="009D71E8">
            <w:pPr>
              <w:pStyle w:val="TableHeader"/>
              <w:jc w:val="left"/>
              <w:rPr>
                <w:rFonts w:cs="Arial"/>
              </w:rPr>
            </w:pPr>
            <w:r w:rsidRPr="00B75329">
              <w:rPr>
                <w:rFonts w:cs="Arial"/>
              </w:rPr>
              <w:t>Challenge number(s) addressed</w:t>
            </w:r>
          </w:p>
        </w:tc>
      </w:tr>
      <w:tr w:rsidR="009B776F" w:rsidRPr="00B75329" w14:paraId="334372AD" w14:textId="77777777" w:rsidTr="00B75DB7">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DD4E11" w14:textId="700CA33D" w:rsidR="00370C06" w:rsidRPr="00B75329" w:rsidRDefault="14E56AAF" w:rsidP="00AD1D51">
            <w:pPr>
              <w:pStyle w:val="TableRow"/>
              <w:ind w:left="0"/>
              <w:rPr>
                <w:rFonts w:cs="Arial"/>
                <w:sz w:val="22"/>
              </w:rPr>
            </w:pPr>
            <w:r w:rsidRPr="00B75329">
              <w:rPr>
                <w:rFonts w:cs="Arial"/>
                <w:sz w:val="22"/>
              </w:rPr>
              <w:t>Identify gaps in learning through forensic analysis of formative and summative assessment.</w:t>
            </w:r>
          </w:p>
        </w:tc>
        <w:tc>
          <w:tcPr>
            <w:tcW w:w="5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2A28FD" w14:textId="465D130C" w:rsidR="00D458EE" w:rsidRPr="00B75329" w:rsidRDefault="00D458EE">
            <w:pPr>
              <w:pStyle w:val="TableRowCentered"/>
              <w:jc w:val="left"/>
              <w:rPr>
                <w:rFonts w:cs="Arial"/>
                <w:sz w:val="22"/>
              </w:rPr>
            </w:pPr>
            <w:r w:rsidRPr="00B75329">
              <w:rPr>
                <w:rFonts w:cs="Arial"/>
                <w:sz w:val="22"/>
              </w:rPr>
              <w:t xml:space="preserve">PiXL provides </w:t>
            </w:r>
            <w:r w:rsidRPr="00B75329">
              <w:rPr>
                <w:rFonts w:cs="Arial"/>
              </w:rPr>
              <w:t>high quality diagnostic tools, strategies and resources available through a digital platform. This is used for assessment, planning, interventions</w:t>
            </w:r>
            <w:r w:rsidR="0072424B" w:rsidRPr="00B75329">
              <w:rPr>
                <w:rFonts w:cs="Arial"/>
              </w:rPr>
              <w:t xml:space="preserve">. </w:t>
            </w:r>
          </w:p>
          <w:p w14:paraId="6C08C694" w14:textId="77A63E87" w:rsidR="009B776F" w:rsidRPr="00B75329" w:rsidRDefault="009B5768">
            <w:pPr>
              <w:pStyle w:val="TableRowCentered"/>
              <w:jc w:val="left"/>
              <w:rPr>
                <w:rFonts w:cs="Arial"/>
                <w:sz w:val="22"/>
              </w:rPr>
            </w:pPr>
            <w:hyperlink r:id="rId10" w:history="1">
              <w:r w:rsidR="009B776F" w:rsidRPr="00B75329">
                <w:rPr>
                  <w:rStyle w:val="Hyperlink"/>
                  <w:rFonts w:cs="Arial"/>
                  <w:sz w:val="22"/>
                </w:rPr>
                <w:t>PiXL Subscription Benefits</w:t>
              </w:r>
            </w:hyperlink>
            <w:r w:rsidR="009B776F" w:rsidRPr="00B75329">
              <w:rPr>
                <w:rFonts w:cs="Arial"/>
                <w:sz w:val="22"/>
              </w:rPr>
              <w:t xml:space="preserve"> </w:t>
            </w:r>
            <w:r w:rsidR="0072424B" w:rsidRPr="00B75329">
              <w:rPr>
                <w:rFonts w:cs="Arial"/>
                <w:sz w:val="22"/>
              </w:rPr>
              <w:t>(PiXL)</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704E4" w14:textId="337CA0D7" w:rsidR="009B776F" w:rsidRPr="00B75329" w:rsidRDefault="67383CA0" w:rsidP="3F205C40">
            <w:pPr>
              <w:pStyle w:val="TableRowCentered"/>
              <w:jc w:val="left"/>
              <w:rPr>
                <w:rFonts w:cs="Arial"/>
                <w:sz w:val="22"/>
                <w:szCs w:val="22"/>
              </w:rPr>
            </w:pPr>
            <w:r w:rsidRPr="00B75329">
              <w:rPr>
                <w:rFonts w:cs="Arial"/>
                <w:sz w:val="22"/>
                <w:szCs w:val="22"/>
              </w:rPr>
              <w:t>1</w:t>
            </w:r>
          </w:p>
        </w:tc>
      </w:tr>
      <w:tr w:rsidR="00E66558" w:rsidRPr="00B75329" w14:paraId="2A7D551D" w14:textId="77777777" w:rsidTr="00B75DB7">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60BD9B" w14:textId="65FFBF50" w:rsidR="00E66558" w:rsidRPr="00B75329" w:rsidRDefault="6088733E" w:rsidP="00AD1D51">
            <w:pPr>
              <w:pStyle w:val="TableRow"/>
              <w:ind w:left="0"/>
              <w:rPr>
                <w:rFonts w:cs="Arial"/>
                <w:sz w:val="22"/>
              </w:rPr>
            </w:pPr>
            <w:r w:rsidRPr="00B75329">
              <w:rPr>
                <w:rFonts w:cs="Arial"/>
                <w:sz w:val="22"/>
              </w:rPr>
              <w:t>Promot</w:t>
            </w:r>
            <w:r w:rsidR="6267BF4D" w:rsidRPr="00B75329">
              <w:rPr>
                <w:rFonts w:cs="Arial"/>
                <w:sz w:val="22"/>
              </w:rPr>
              <w:t>e</w:t>
            </w:r>
            <w:r w:rsidRPr="00B75329">
              <w:rPr>
                <w:rFonts w:cs="Arial"/>
                <w:sz w:val="22"/>
              </w:rPr>
              <w:t xml:space="preserve"> and explicitly teach </w:t>
            </w:r>
            <w:r w:rsidR="716D6997" w:rsidRPr="00B75329">
              <w:rPr>
                <w:rFonts w:cs="Arial"/>
                <w:sz w:val="22"/>
              </w:rPr>
              <w:t xml:space="preserve">identified areas of development in </w:t>
            </w:r>
            <w:r w:rsidR="65972B21" w:rsidRPr="00B75329">
              <w:rPr>
                <w:rFonts w:cs="Arial"/>
                <w:sz w:val="22"/>
              </w:rPr>
              <w:t>SEMH (</w:t>
            </w:r>
            <w:r w:rsidR="4331190A" w:rsidRPr="00B75329">
              <w:rPr>
                <w:rFonts w:cs="Arial"/>
                <w:sz w:val="22"/>
              </w:rPr>
              <w:t xml:space="preserve">mental health and </w:t>
            </w:r>
            <w:r w:rsidR="65972B21" w:rsidRPr="00B75329">
              <w:rPr>
                <w:rFonts w:cs="Arial"/>
                <w:sz w:val="22"/>
              </w:rPr>
              <w:t>wellbeing)</w:t>
            </w:r>
            <w:r w:rsidRPr="00B75329">
              <w:rPr>
                <w:rFonts w:cs="Arial"/>
                <w:sz w:val="22"/>
              </w:rPr>
              <w:t xml:space="preserve"> </w:t>
            </w:r>
          </w:p>
          <w:p w14:paraId="2A7D551A" w14:textId="2FCC3CA1" w:rsidR="00370C06" w:rsidRPr="00B75329" w:rsidRDefault="00370C06" w:rsidP="3F205C40">
            <w:pPr>
              <w:pStyle w:val="TableRow"/>
              <w:ind w:left="0"/>
              <w:rPr>
                <w:rFonts w:cs="Arial"/>
                <w:color w:val="0D0D0D" w:themeColor="text1" w:themeTint="F2"/>
                <w:sz w:val="22"/>
              </w:rPr>
            </w:pPr>
          </w:p>
        </w:tc>
        <w:tc>
          <w:tcPr>
            <w:tcW w:w="5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C13F3C" w14:textId="6E3FA613" w:rsidR="0072424B" w:rsidRPr="00B75329" w:rsidRDefault="74ADD64F" w:rsidP="3F205C40">
            <w:pPr>
              <w:pStyle w:val="TableRowCentered"/>
              <w:jc w:val="left"/>
              <w:rPr>
                <w:rFonts w:cs="Arial"/>
                <w:sz w:val="22"/>
                <w:szCs w:val="22"/>
              </w:rPr>
            </w:pPr>
            <w:r w:rsidRPr="00B75329">
              <w:rPr>
                <w:rFonts w:cs="Arial"/>
                <w:sz w:val="22"/>
                <w:szCs w:val="22"/>
              </w:rPr>
              <w:t>R</w:t>
            </w:r>
            <w:r w:rsidR="4D3A59F8" w:rsidRPr="00B75329">
              <w:rPr>
                <w:rFonts w:cs="Arial"/>
                <w:sz w:val="22"/>
                <w:szCs w:val="22"/>
              </w:rPr>
              <w:t>esearch stresses</w:t>
            </w:r>
            <w:r w:rsidR="4C4F0A35" w:rsidRPr="00B75329">
              <w:rPr>
                <w:rFonts w:cs="Arial"/>
                <w:sz w:val="22"/>
                <w:szCs w:val="22"/>
              </w:rPr>
              <w:t xml:space="preserve"> that Social and Emotional Learning</w:t>
            </w:r>
            <w:r w:rsidR="4D3A59F8" w:rsidRPr="00B75329">
              <w:rPr>
                <w:rFonts w:cs="Arial"/>
                <w:sz w:val="22"/>
                <w:szCs w:val="22"/>
              </w:rPr>
              <w:t xml:space="preserve"> is especially important for children from disadvantaged backgrounds who, on average, have weaker SEMH skills at all ages than </w:t>
            </w:r>
            <w:r w:rsidR="5A66DF4C" w:rsidRPr="00B75329">
              <w:rPr>
                <w:rFonts w:cs="Arial"/>
                <w:sz w:val="22"/>
                <w:szCs w:val="22"/>
              </w:rPr>
              <w:t>other children.</w:t>
            </w:r>
          </w:p>
          <w:p w14:paraId="2A7D551B" w14:textId="4AE40599" w:rsidR="00E66558" w:rsidRPr="00B75329" w:rsidRDefault="009B5768">
            <w:pPr>
              <w:pStyle w:val="TableRowCentered"/>
              <w:jc w:val="left"/>
              <w:rPr>
                <w:rFonts w:cs="Arial"/>
                <w:sz w:val="22"/>
              </w:rPr>
            </w:pPr>
            <w:hyperlink r:id="rId11" w:history="1">
              <w:r w:rsidR="00AD1D51" w:rsidRPr="00B75329">
                <w:rPr>
                  <w:rStyle w:val="Hyperlink"/>
                  <w:rFonts w:cs="Arial"/>
                  <w:sz w:val="22"/>
                </w:rPr>
                <w:t>Improving Social and Emotional Learning in Primary Schools</w:t>
              </w:r>
            </w:hyperlink>
            <w:r w:rsidR="0072424B" w:rsidRPr="00B75329">
              <w:rPr>
                <w:rFonts w:cs="Arial"/>
                <w:sz w:val="22"/>
              </w:rPr>
              <w:t xml:space="preserve"> (EEF)</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4ED9483D" w:rsidR="00E66558" w:rsidRPr="00B75329" w:rsidRDefault="6639E0EA" w:rsidP="3F205C40">
            <w:pPr>
              <w:pStyle w:val="TableRowCentered"/>
              <w:jc w:val="left"/>
              <w:rPr>
                <w:rFonts w:cs="Arial"/>
                <w:sz w:val="22"/>
                <w:szCs w:val="22"/>
              </w:rPr>
            </w:pPr>
            <w:r w:rsidRPr="00B75329">
              <w:rPr>
                <w:rFonts w:cs="Arial"/>
                <w:sz w:val="22"/>
                <w:szCs w:val="22"/>
              </w:rPr>
              <w:t>2</w:t>
            </w:r>
          </w:p>
        </w:tc>
      </w:tr>
      <w:tr w:rsidR="00E66558" w:rsidRPr="00B75329" w14:paraId="2A7D5521" w14:textId="77777777" w:rsidTr="00B75DB7">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B1986" w14:textId="32989688" w:rsidR="00E66558" w:rsidRPr="00B75329" w:rsidRDefault="57A410B9" w:rsidP="3577CD6D">
            <w:pPr>
              <w:pStyle w:val="TableRow"/>
              <w:ind w:left="0"/>
              <w:rPr>
                <w:rFonts w:cs="Arial"/>
                <w:sz w:val="22"/>
                <w:szCs w:val="22"/>
              </w:rPr>
            </w:pPr>
            <w:r w:rsidRPr="00B75329">
              <w:rPr>
                <w:rFonts w:cs="Arial"/>
                <w:sz w:val="22"/>
                <w:szCs w:val="22"/>
              </w:rPr>
              <w:t xml:space="preserve">Teaching team plan </w:t>
            </w:r>
            <w:r w:rsidR="067659AE" w:rsidRPr="00B75329">
              <w:rPr>
                <w:rFonts w:cs="Arial"/>
                <w:sz w:val="22"/>
                <w:szCs w:val="22"/>
              </w:rPr>
              <w:t>for and</w:t>
            </w:r>
            <w:r w:rsidRPr="00B75329">
              <w:rPr>
                <w:rFonts w:cs="Arial"/>
                <w:sz w:val="22"/>
                <w:szCs w:val="22"/>
              </w:rPr>
              <w:t xml:space="preserve"> develop a range of </w:t>
            </w:r>
            <w:r w:rsidR="4CD1D393" w:rsidRPr="00B75329">
              <w:rPr>
                <w:rFonts w:cs="Arial"/>
                <w:sz w:val="22"/>
                <w:szCs w:val="22"/>
              </w:rPr>
              <w:t>w</w:t>
            </w:r>
            <w:r w:rsidR="5CD0E262" w:rsidRPr="00B75329">
              <w:rPr>
                <w:rFonts w:cs="Arial"/>
                <w:sz w:val="22"/>
                <w:szCs w:val="22"/>
              </w:rPr>
              <w:t>ell</w:t>
            </w:r>
            <w:r w:rsidR="2D7B43EB" w:rsidRPr="00B75329">
              <w:rPr>
                <w:rFonts w:cs="Arial"/>
                <w:sz w:val="22"/>
                <w:szCs w:val="22"/>
              </w:rPr>
              <w:t>-</w:t>
            </w:r>
            <w:r w:rsidR="5CD0E262" w:rsidRPr="00B75329">
              <w:rPr>
                <w:rFonts w:cs="Arial"/>
                <w:sz w:val="22"/>
                <w:szCs w:val="22"/>
              </w:rPr>
              <w:t>structured, collaborative learning opportunities</w:t>
            </w:r>
            <w:r w:rsidR="3FD3890E" w:rsidRPr="00B75329">
              <w:rPr>
                <w:rFonts w:cs="Arial"/>
                <w:sz w:val="22"/>
                <w:szCs w:val="22"/>
              </w:rPr>
              <w:t xml:space="preserve"> for pupils</w:t>
            </w:r>
            <w:r w:rsidR="5CD0E262" w:rsidRPr="00B75329">
              <w:rPr>
                <w:rFonts w:cs="Arial"/>
                <w:sz w:val="22"/>
                <w:szCs w:val="22"/>
              </w:rPr>
              <w:t xml:space="preserve"> </w:t>
            </w:r>
          </w:p>
          <w:p w14:paraId="2A7D551E" w14:textId="131A8AB1" w:rsidR="00370C06" w:rsidRPr="00B75329" w:rsidRDefault="00370C06" w:rsidP="3F205C40">
            <w:pPr>
              <w:pStyle w:val="TableRow"/>
              <w:ind w:left="0"/>
              <w:rPr>
                <w:rFonts w:cs="Arial"/>
                <w:color w:val="0D0D0D" w:themeColor="text1" w:themeTint="F2"/>
              </w:rPr>
            </w:pPr>
          </w:p>
        </w:tc>
        <w:tc>
          <w:tcPr>
            <w:tcW w:w="5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C18F75" w14:textId="70B3BD18" w:rsidR="0072424B" w:rsidRPr="00B75329" w:rsidRDefault="0072424B">
            <w:pPr>
              <w:pStyle w:val="TableRowCentered"/>
              <w:jc w:val="left"/>
              <w:rPr>
                <w:rFonts w:cs="Arial"/>
                <w:sz w:val="22"/>
              </w:rPr>
            </w:pPr>
            <w:r w:rsidRPr="00B75329">
              <w:rPr>
                <w:rFonts w:cs="Arial"/>
                <w:sz w:val="22"/>
              </w:rPr>
              <w:t>There is evidence that collaborative learning approaches may benefit those with low prior attainment by providing opportunities for pupils to work with peers to articulate their thinking, share knowledge and skills and address misconceptions through peer support and discussion.</w:t>
            </w:r>
          </w:p>
          <w:p w14:paraId="2A7D551F" w14:textId="07765CC9" w:rsidR="00E66558" w:rsidRPr="00B75329" w:rsidRDefault="009B5768">
            <w:pPr>
              <w:pStyle w:val="TableRowCentered"/>
              <w:jc w:val="left"/>
              <w:rPr>
                <w:rFonts w:cs="Arial"/>
                <w:sz w:val="22"/>
              </w:rPr>
            </w:pPr>
            <w:hyperlink r:id="rId12" w:history="1">
              <w:r w:rsidR="00D029CD" w:rsidRPr="00B75329">
                <w:rPr>
                  <w:rStyle w:val="Hyperlink"/>
                  <w:rFonts w:cs="Arial"/>
                  <w:sz w:val="22"/>
                </w:rPr>
                <w:t>Collaborative Learning Opportunities</w:t>
              </w:r>
            </w:hyperlink>
            <w:r w:rsidR="00D029CD" w:rsidRPr="00B75329">
              <w:rPr>
                <w:rFonts w:cs="Arial"/>
                <w:sz w:val="22"/>
              </w:rPr>
              <w:t xml:space="preserve"> </w:t>
            </w:r>
            <w:r w:rsidR="0072424B" w:rsidRPr="00B75329">
              <w:rPr>
                <w:rFonts w:cs="Arial"/>
                <w:sz w:val="22"/>
              </w:rPr>
              <w:t>(EEF)</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1D01EE8C" w:rsidR="00E66558" w:rsidRPr="00B75329" w:rsidRDefault="60D96639" w:rsidP="3F205C40">
            <w:pPr>
              <w:pStyle w:val="TableRowCentered"/>
              <w:jc w:val="left"/>
              <w:rPr>
                <w:rFonts w:cs="Arial"/>
                <w:sz w:val="22"/>
                <w:szCs w:val="22"/>
              </w:rPr>
            </w:pPr>
            <w:r w:rsidRPr="00B75329">
              <w:rPr>
                <w:rFonts w:cs="Arial"/>
                <w:sz w:val="22"/>
                <w:szCs w:val="22"/>
              </w:rPr>
              <w:t>1</w:t>
            </w:r>
            <w:r w:rsidR="5037F958" w:rsidRPr="00B75329">
              <w:rPr>
                <w:rFonts w:cs="Arial"/>
                <w:sz w:val="22"/>
                <w:szCs w:val="22"/>
              </w:rPr>
              <w:t>,2,3</w:t>
            </w:r>
          </w:p>
        </w:tc>
      </w:tr>
      <w:tr w:rsidR="00D029CD" w:rsidRPr="00B75329" w14:paraId="29AB3B50" w14:textId="77777777" w:rsidTr="00B75DB7">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31D381" w14:textId="24D950C1" w:rsidR="00370C06" w:rsidRPr="00B75329" w:rsidRDefault="6267BF4D" w:rsidP="3F205C40">
            <w:pPr>
              <w:pStyle w:val="TableRow"/>
              <w:ind w:left="0"/>
              <w:rPr>
                <w:rFonts w:cs="Arial"/>
                <w:sz w:val="22"/>
                <w:szCs w:val="22"/>
              </w:rPr>
            </w:pPr>
            <w:r w:rsidRPr="00B75329">
              <w:rPr>
                <w:rFonts w:cs="Arial"/>
                <w:sz w:val="22"/>
                <w:szCs w:val="22"/>
              </w:rPr>
              <w:t xml:space="preserve">Provide </w:t>
            </w:r>
            <w:r w:rsidR="320B8C44" w:rsidRPr="00B75329">
              <w:rPr>
                <w:rFonts w:cs="Arial"/>
                <w:sz w:val="22"/>
                <w:szCs w:val="22"/>
              </w:rPr>
              <w:t xml:space="preserve">meaningful </w:t>
            </w:r>
            <w:r w:rsidRPr="00B75329">
              <w:rPr>
                <w:rFonts w:cs="Arial"/>
                <w:sz w:val="22"/>
                <w:szCs w:val="22"/>
              </w:rPr>
              <w:t>f</w:t>
            </w:r>
            <w:r w:rsidR="5CD0E262" w:rsidRPr="00B75329">
              <w:rPr>
                <w:rFonts w:cs="Arial"/>
                <w:sz w:val="22"/>
                <w:szCs w:val="22"/>
              </w:rPr>
              <w:t>eedback</w:t>
            </w:r>
            <w:r w:rsidRPr="00B75329">
              <w:rPr>
                <w:rFonts w:cs="Arial"/>
                <w:sz w:val="22"/>
                <w:szCs w:val="22"/>
              </w:rPr>
              <w:t xml:space="preserve"> to pupils which suits the needs of the learners</w:t>
            </w:r>
            <w:r w:rsidR="741C2FEA" w:rsidRPr="00B75329">
              <w:rPr>
                <w:rFonts w:cs="Arial"/>
                <w:sz w:val="22"/>
                <w:szCs w:val="22"/>
              </w:rPr>
              <w:t xml:space="preserve"> and enable</w:t>
            </w:r>
            <w:r w:rsidR="1ACA6C6F" w:rsidRPr="00B75329">
              <w:rPr>
                <w:rFonts w:cs="Arial"/>
                <w:sz w:val="22"/>
                <w:szCs w:val="22"/>
              </w:rPr>
              <w:t>s</w:t>
            </w:r>
            <w:r w:rsidR="741C2FEA" w:rsidRPr="00B75329">
              <w:rPr>
                <w:rFonts w:cs="Arial"/>
                <w:sz w:val="22"/>
                <w:szCs w:val="22"/>
              </w:rPr>
              <w:t xml:space="preserve"> them to recognise their strengths and give them the information that they need to improve </w:t>
            </w:r>
          </w:p>
        </w:tc>
        <w:tc>
          <w:tcPr>
            <w:tcW w:w="5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72278" w14:textId="6890B965" w:rsidR="0072424B" w:rsidRPr="00B75329" w:rsidRDefault="0072424B">
            <w:pPr>
              <w:pStyle w:val="TableRowCentered"/>
              <w:jc w:val="left"/>
              <w:rPr>
                <w:rFonts w:cs="Arial"/>
                <w:sz w:val="22"/>
              </w:rPr>
            </w:pPr>
            <w:r w:rsidRPr="00B75329">
              <w:rPr>
                <w:rFonts w:cs="Arial"/>
                <w:sz w:val="22"/>
              </w:rPr>
              <w:t>There is evidence to suggest that feedback involving metacognitive and self-regulatory approaches may have a greater impact on disadvantaged pupils and lower prior attainers than other pupils.</w:t>
            </w:r>
          </w:p>
          <w:p w14:paraId="558BB4BC" w14:textId="61D741B7" w:rsidR="00D029CD" w:rsidRPr="00B75329" w:rsidRDefault="009B5768">
            <w:pPr>
              <w:pStyle w:val="TableRowCentered"/>
              <w:jc w:val="left"/>
              <w:rPr>
                <w:rFonts w:cs="Arial"/>
                <w:sz w:val="22"/>
              </w:rPr>
            </w:pPr>
            <w:hyperlink r:id="rId13" w:history="1">
              <w:r w:rsidR="00D029CD" w:rsidRPr="00B75329">
                <w:rPr>
                  <w:rStyle w:val="Hyperlink"/>
                  <w:rFonts w:cs="Arial"/>
                  <w:sz w:val="22"/>
                </w:rPr>
                <w:t>Feedback</w:t>
              </w:r>
            </w:hyperlink>
            <w:r w:rsidR="00D029CD" w:rsidRPr="00B75329">
              <w:rPr>
                <w:rFonts w:cs="Arial"/>
                <w:sz w:val="22"/>
              </w:rPr>
              <w:t xml:space="preserve"> </w:t>
            </w:r>
            <w:r w:rsidR="0072424B" w:rsidRPr="00B75329">
              <w:rPr>
                <w:rFonts w:cs="Arial"/>
                <w:sz w:val="22"/>
              </w:rPr>
              <w:t>(EEF)</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164F7" w14:textId="6DCC0375" w:rsidR="00D029CD" w:rsidRPr="00B75329" w:rsidRDefault="67383CA0" w:rsidP="3F205C40">
            <w:pPr>
              <w:pStyle w:val="TableRowCentered"/>
              <w:jc w:val="left"/>
              <w:rPr>
                <w:rFonts w:cs="Arial"/>
                <w:sz w:val="22"/>
                <w:szCs w:val="22"/>
              </w:rPr>
            </w:pPr>
            <w:r w:rsidRPr="00B75329">
              <w:rPr>
                <w:rFonts w:cs="Arial"/>
                <w:sz w:val="22"/>
                <w:szCs w:val="22"/>
              </w:rPr>
              <w:t>1</w:t>
            </w:r>
          </w:p>
        </w:tc>
      </w:tr>
      <w:tr w:rsidR="002C1A59" w:rsidRPr="00B75329" w14:paraId="1D851792" w14:textId="77777777" w:rsidTr="00B75DB7">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9BA939" w14:textId="54D9539B" w:rsidR="002C1A59" w:rsidRPr="00B75329" w:rsidRDefault="71317C30" w:rsidP="3577CD6D">
            <w:pPr>
              <w:pStyle w:val="TableRow"/>
              <w:ind w:left="0"/>
              <w:rPr>
                <w:rFonts w:cs="Arial"/>
                <w:sz w:val="22"/>
                <w:szCs w:val="22"/>
              </w:rPr>
            </w:pPr>
            <w:r w:rsidRPr="00B75329">
              <w:rPr>
                <w:rFonts w:cs="Arial"/>
                <w:sz w:val="22"/>
                <w:szCs w:val="22"/>
              </w:rPr>
              <w:t xml:space="preserve">Teach maths mastery </w:t>
            </w:r>
            <w:r w:rsidR="1E0655E1" w:rsidRPr="00B75329">
              <w:rPr>
                <w:rFonts w:cs="Arial"/>
                <w:sz w:val="22"/>
                <w:szCs w:val="22"/>
              </w:rPr>
              <w:t xml:space="preserve">for all </w:t>
            </w:r>
            <w:r w:rsidR="1E0655E1" w:rsidRPr="00B75329">
              <w:rPr>
                <w:rFonts w:cs="Arial"/>
                <w:sz w:val="22"/>
                <w:szCs w:val="22"/>
              </w:rPr>
              <w:lastRenderedPageBreak/>
              <w:t>children across all year groups</w:t>
            </w:r>
          </w:p>
        </w:tc>
        <w:tc>
          <w:tcPr>
            <w:tcW w:w="5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37E216" w14:textId="422FF8A5" w:rsidR="0072424B" w:rsidRPr="00B75329" w:rsidRDefault="0072424B">
            <w:pPr>
              <w:pStyle w:val="TableRowCentered"/>
              <w:jc w:val="left"/>
              <w:rPr>
                <w:rFonts w:cs="Arial"/>
                <w:sz w:val="22"/>
              </w:rPr>
            </w:pPr>
            <w:r w:rsidRPr="00B75329">
              <w:rPr>
                <w:rFonts w:cs="Arial"/>
                <w:sz w:val="22"/>
              </w:rPr>
              <w:lastRenderedPageBreak/>
              <w:t xml:space="preserve">Mastery learning approaches aim to ensure that all pupils have mastered key concepts before moving on to the next topic – in contrast with traditional teaching </w:t>
            </w:r>
            <w:r w:rsidRPr="00B75329">
              <w:rPr>
                <w:rFonts w:cs="Arial"/>
                <w:sz w:val="22"/>
              </w:rPr>
              <w:lastRenderedPageBreak/>
              <w:t>methods in which pupils may be left behind, with gaps of misunderstanding widening. </w:t>
            </w:r>
          </w:p>
          <w:p w14:paraId="26B7B684" w14:textId="0F3D6CDC" w:rsidR="002C1A59" w:rsidRPr="00B75329" w:rsidRDefault="009B5768">
            <w:pPr>
              <w:pStyle w:val="TableRowCentered"/>
              <w:jc w:val="left"/>
              <w:rPr>
                <w:rFonts w:cs="Arial"/>
                <w:sz w:val="22"/>
              </w:rPr>
            </w:pPr>
            <w:hyperlink r:id="rId14" w:history="1">
              <w:r w:rsidR="002C1A59" w:rsidRPr="00B75329">
                <w:rPr>
                  <w:rStyle w:val="Hyperlink"/>
                  <w:rFonts w:cs="Arial"/>
                  <w:sz w:val="22"/>
                </w:rPr>
                <w:t>Mastery Learning</w:t>
              </w:r>
            </w:hyperlink>
            <w:r w:rsidR="002C1A59" w:rsidRPr="00B75329">
              <w:rPr>
                <w:rFonts w:cs="Arial"/>
                <w:sz w:val="22"/>
              </w:rPr>
              <w:t xml:space="preserve"> </w:t>
            </w:r>
            <w:r w:rsidR="0072424B" w:rsidRPr="00B75329">
              <w:rPr>
                <w:rFonts w:cs="Arial"/>
                <w:sz w:val="22"/>
              </w:rPr>
              <w:t>(EEF)</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E1B261" w14:textId="062C323A" w:rsidR="002C1A59" w:rsidRPr="00B75329" w:rsidRDefault="67383CA0" w:rsidP="3F205C40">
            <w:pPr>
              <w:pStyle w:val="TableRowCentered"/>
              <w:jc w:val="left"/>
              <w:rPr>
                <w:rFonts w:cs="Arial"/>
                <w:sz w:val="22"/>
                <w:szCs w:val="22"/>
              </w:rPr>
            </w:pPr>
            <w:r w:rsidRPr="00B75329">
              <w:rPr>
                <w:rFonts w:cs="Arial"/>
                <w:sz w:val="22"/>
                <w:szCs w:val="22"/>
              </w:rPr>
              <w:lastRenderedPageBreak/>
              <w:t>1</w:t>
            </w:r>
          </w:p>
        </w:tc>
      </w:tr>
      <w:tr w:rsidR="002C1A59" w:rsidRPr="00B75329" w14:paraId="2B41C0ED" w14:textId="77777777" w:rsidTr="00B75DB7">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7BBC15" w14:textId="4702016E" w:rsidR="002C1A59" w:rsidRPr="00B75329" w:rsidRDefault="1E0655E1" w:rsidP="3577CD6D">
            <w:pPr>
              <w:pStyle w:val="TableRow"/>
              <w:ind w:left="0"/>
              <w:rPr>
                <w:rFonts w:cs="Arial"/>
                <w:sz w:val="22"/>
                <w:szCs w:val="22"/>
              </w:rPr>
            </w:pPr>
            <w:r w:rsidRPr="00B75329">
              <w:rPr>
                <w:rFonts w:cs="Arial"/>
                <w:sz w:val="22"/>
                <w:szCs w:val="22"/>
              </w:rPr>
              <w:t>Provide opportunities for p</w:t>
            </w:r>
            <w:r w:rsidR="71317C30" w:rsidRPr="00B75329">
              <w:rPr>
                <w:rFonts w:cs="Arial"/>
                <w:sz w:val="22"/>
                <w:szCs w:val="22"/>
              </w:rPr>
              <w:t xml:space="preserve">eer tutoring </w:t>
            </w:r>
          </w:p>
        </w:tc>
        <w:tc>
          <w:tcPr>
            <w:tcW w:w="5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74CCC" w14:textId="4EE20D8D" w:rsidR="0072424B" w:rsidRPr="00B75329" w:rsidRDefault="0072424B">
            <w:pPr>
              <w:pStyle w:val="TableRowCentered"/>
              <w:jc w:val="left"/>
              <w:rPr>
                <w:rFonts w:cs="Arial"/>
                <w:sz w:val="22"/>
              </w:rPr>
            </w:pPr>
            <w:r w:rsidRPr="00B75329">
              <w:rPr>
                <w:rFonts w:cs="Arial"/>
                <w:sz w:val="22"/>
              </w:rPr>
              <w:t>Studies have shown that pupils who are low attaining typically receive additional benefits from peer tutoring. Peer-led tutoring approaches may help pupils to close gaps in their learning by offering targeted, peer-led support to consolidate within class learning, practice skills, and identify and overcome misconceptions. </w:t>
            </w:r>
          </w:p>
          <w:p w14:paraId="71EB3656" w14:textId="1E5A5B02" w:rsidR="002C1A59" w:rsidRPr="00B75329" w:rsidRDefault="009B5768">
            <w:pPr>
              <w:pStyle w:val="TableRowCentered"/>
              <w:jc w:val="left"/>
              <w:rPr>
                <w:rFonts w:cs="Arial"/>
                <w:sz w:val="22"/>
              </w:rPr>
            </w:pPr>
            <w:hyperlink r:id="rId15" w:history="1">
              <w:r w:rsidR="002C1A59" w:rsidRPr="00B75329">
                <w:rPr>
                  <w:rStyle w:val="Hyperlink"/>
                  <w:rFonts w:cs="Arial"/>
                  <w:sz w:val="22"/>
                </w:rPr>
                <w:t>Peer Tutoring</w:t>
              </w:r>
            </w:hyperlink>
            <w:r w:rsidR="002C1A59" w:rsidRPr="00B75329">
              <w:rPr>
                <w:rFonts w:cs="Arial"/>
                <w:sz w:val="22"/>
              </w:rPr>
              <w:t xml:space="preserve"> </w:t>
            </w:r>
            <w:r w:rsidR="0072424B" w:rsidRPr="00B75329">
              <w:rPr>
                <w:rFonts w:cs="Arial"/>
                <w:sz w:val="22"/>
              </w:rPr>
              <w:t>(EEF)</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9070BC" w14:textId="58855ECD" w:rsidR="002C1A59" w:rsidRPr="00B75329" w:rsidRDefault="09A3AA58" w:rsidP="3F205C40">
            <w:pPr>
              <w:pStyle w:val="TableRowCentered"/>
              <w:jc w:val="left"/>
              <w:rPr>
                <w:rFonts w:cs="Arial"/>
                <w:sz w:val="22"/>
                <w:szCs w:val="22"/>
              </w:rPr>
            </w:pPr>
            <w:r w:rsidRPr="00B75329">
              <w:rPr>
                <w:rFonts w:cs="Arial"/>
                <w:sz w:val="22"/>
                <w:szCs w:val="22"/>
              </w:rPr>
              <w:t>1,2,3</w:t>
            </w:r>
          </w:p>
        </w:tc>
      </w:tr>
      <w:tr w:rsidR="00540C44" w:rsidRPr="00B75329" w14:paraId="6BB6F15E" w14:textId="77777777" w:rsidTr="00B75DB7">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522A8D" w14:textId="3280C72C" w:rsidR="00E925CB" w:rsidRPr="00B75329" w:rsidRDefault="6267BF4D" w:rsidP="3F205C40">
            <w:pPr>
              <w:pStyle w:val="TableRow"/>
              <w:ind w:left="0"/>
              <w:rPr>
                <w:rFonts w:cs="Arial"/>
                <w:sz w:val="22"/>
                <w:szCs w:val="22"/>
              </w:rPr>
            </w:pPr>
            <w:r w:rsidRPr="00B75329">
              <w:rPr>
                <w:rFonts w:cs="Arial"/>
                <w:sz w:val="22"/>
                <w:szCs w:val="22"/>
              </w:rPr>
              <w:t xml:space="preserve">Deliver </w:t>
            </w:r>
            <w:r w:rsidR="284A2471" w:rsidRPr="00B75329">
              <w:rPr>
                <w:rFonts w:cs="Arial"/>
                <w:sz w:val="22"/>
                <w:szCs w:val="22"/>
              </w:rPr>
              <w:t xml:space="preserve">regular </w:t>
            </w:r>
            <w:r w:rsidRPr="00B75329">
              <w:rPr>
                <w:rFonts w:cs="Arial"/>
                <w:sz w:val="22"/>
                <w:szCs w:val="22"/>
              </w:rPr>
              <w:t>p</w:t>
            </w:r>
            <w:r w:rsidR="085DDA5B" w:rsidRPr="00B75329">
              <w:rPr>
                <w:rFonts w:cs="Arial"/>
                <w:sz w:val="22"/>
                <w:szCs w:val="22"/>
              </w:rPr>
              <w:t xml:space="preserve">honics </w:t>
            </w:r>
            <w:r w:rsidR="607DDE4A" w:rsidRPr="00B75329">
              <w:rPr>
                <w:rFonts w:cs="Arial"/>
                <w:sz w:val="22"/>
                <w:szCs w:val="22"/>
              </w:rPr>
              <w:t>provision</w:t>
            </w:r>
            <w:r w:rsidR="085DDA5B" w:rsidRPr="00B75329">
              <w:rPr>
                <w:rFonts w:cs="Arial"/>
                <w:sz w:val="22"/>
                <w:szCs w:val="22"/>
              </w:rPr>
              <w:t xml:space="preserve"> </w:t>
            </w:r>
            <w:r w:rsidRPr="00B75329">
              <w:rPr>
                <w:rFonts w:cs="Arial"/>
                <w:sz w:val="22"/>
                <w:szCs w:val="22"/>
              </w:rPr>
              <w:t xml:space="preserve">in </w:t>
            </w:r>
            <w:r w:rsidR="11F5C99F" w:rsidRPr="00B75329">
              <w:rPr>
                <w:rFonts w:cs="Arial"/>
                <w:sz w:val="22"/>
                <w:szCs w:val="22"/>
              </w:rPr>
              <w:t xml:space="preserve">EYFS, </w:t>
            </w:r>
            <w:r w:rsidRPr="00B75329">
              <w:rPr>
                <w:rFonts w:cs="Arial"/>
                <w:sz w:val="22"/>
                <w:szCs w:val="22"/>
              </w:rPr>
              <w:t>KS1 and to those who will benefit in KS2</w:t>
            </w:r>
            <w:r w:rsidR="50ADCA20" w:rsidRPr="00B75329">
              <w:rPr>
                <w:rFonts w:cs="Arial"/>
                <w:sz w:val="22"/>
                <w:szCs w:val="22"/>
              </w:rPr>
              <w:t xml:space="preserve"> using ‘Little Wandle Letters and Sounds’</w:t>
            </w:r>
            <w:r w:rsidR="1FBAA700" w:rsidRPr="00B75329">
              <w:rPr>
                <w:rFonts w:cs="Arial"/>
                <w:sz w:val="22"/>
                <w:szCs w:val="22"/>
              </w:rPr>
              <w:t xml:space="preserve"> and other appropriate resources</w:t>
            </w:r>
          </w:p>
        </w:tc>
        <w:tc>
          <w:tcPr>
            <w:tcW w:w="5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9644A9" w14:textId="77777777" w:rsidR="001F01F1" w:rsidRPr="00B75329" w:rsidRDefault="001F01F1">
            <w:pPr>
              <w:pStyle w:val="TableRowCentered"/>
              <w:jc w:val="left"/>
              <w:rPr>
                <w:rFonts w:cs="Arial"/>
                <w:sz w:val="22"/>
              </w:rPr>
            </w:pPr>
            <w:r w:rsidRPr="00B75329">
              <w:rPr>
                <w:rFonts w:cs="Arial"/>
                <w:sz w:val="22"/>
              </w:rPr>
              <w:t>Studies in England have shown that pupils eligible for free school meals typically receive similar or slightly greater benefit from phonics interventions and approaches. This is likely to be due to the explicit nature of the instruction and the intensive support provided.</w:t>
            </w:r>
          </w:p>
          <w:p w14:paraId="1F373592" w14:textId="545D205C" w:rsidR="00540C44" w:rsidRPr="00B75329" w:rsidRDefault="009B5768">
            <w:pPr>
              <w:pStyle w:val="TableRowCentered"/>
              <w:jc w:val="left"/>
              <w:rPr>
                <w:rFonts w:cs="Arial"/>
                <w:sz w:val="22"/>
              </w:rPr>
            </w:pPr>
            <w:hyperlink r:id="rId16" w:history="1">
              <w:r w:rsidR="00540C44" w:rsidRPr="00B75329">
                <w:rPr>
                  <w:rStyle w:val="Hyperlink"/>
                  <w:rFonts w:cs="Arial"/>
                  <w:sz w:val="22"/>
                </w:rPr>
                <w:t>Phonics</w:t>
              </w:r>
            </w:hyperlink>
            <w:r w:rsidR="00540C44" w:rsidRPr="00B75329">
              <w:rPr>
                <w:rFonts w:cs="Arial"/>
                <w:sz w:val="22"/>
              </w:rPr>
              <w:t xml:space="preserve"> </w:t>
            </w:r>
            <w:r w:rsidR="001F01F1" w:rsidRPr="00B75329">
              <w:rPr>
                <w:rFonts w:cs="Arial"/>
                <w:sz w:val="22"/>
              </w:rPr>
              <w:t>(EEF)</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0EED6B" w14:textId="6B1E0D22" w:rsidR="00540C44" w:rsidRPr="00B75329" w:rsidRDefault="67383CA0" w:rsidP="3F205C40">
            <w:pPr>
              <w:pStyle w:val="TableRowCentered"/>
              <w:jc w:val="left"/>
              <w:rPr>
                <w:rFonts w:cs="Arial"/>
                <w:sz w:val="22"/>
                <w:szCs w:val="22"/>
              </w:rPr>
            </w:pPr>
            <w:r w:rsidRPr="00B75329">
              <w:rPr>
                <w:rFonts w:cs="Arial"/>
                <w:sz w:val="22"/>
                <w:szCs w:val="22"/>
              </w:rPr>
              <w:t>1</w:t>
            </w:r>
            <w:r w:rsidR="1A103096" w:rsidRPr="00B75329">
              <w:rPr>
                <w:rFonts w:cs="Arial"/>
                <w:sz w:val="22"/>
                <w:szCs w:val="22"/>
              </w:rPr>
              <w:t xml:space="preserve"> </w:t>
            </w:r>
          </w:p>
        </w:tc>
      </w:tr>
      <w:tr w:rsidR="00540C44" w:rsidRPr="00B75329" w14:paraId="5E09F461" w14:textId="77777777" w:rsidTr="00B75DB7">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E2325D" w14:textId="4E9B1019" w:rsidR="00E925CB" w:rsidRPr="00B75329" w:rsidRDefault="6267BF4D" w:rsidP="3F205C40">
            <w:pPr>
              <w:pStyle w:val="TableRow"/>
              <w:ind w:left="0"/>
              <w:rPr>
                <w:rFonts w:cs="Arial"/>
                <w:sz w:val="22"/>
                <w:szCs w:val="22"/>
              </w:rPr>
            </w:pPr>
            <w:r w:rsidRPr="00B75329">
              <w:rPr>
                <w:rFonts w:cs="Arial"/>
                <w:sz w:val="22"/>
                <w:szCs w:val="22"/>
              </w:rPr>
              <w:t xml:space="preserve">Attend </w:t>
            </w:r>
            <w:r w:rsidR="085DDA5B" w:rsidRPr="00B75329">
              <w:rPr>
                <w:rFonts w:cs="Arial"/>
                <w:sz w:val="22"/>
                <w:szCs w:val="22"/>
              </w:rPr>
              <w:t>National College</w:t>
            </w:r>
            <w:r w:rsidR="52DEC7D2" w:rsidRPr="00B75329">
              <w:rPr>
                <w:rFonts w:cs="Arial"/>
                <w:sz w:val="22"/>
                <w:szCs w:val="22"/>
              </w:rPr>
              <w:t xml:space="preserve"> webinars</w:t>
            </w:r>
            <w:r w:rsidR="085DDA5B" w:rsidRPr="00B75329">
              <w:rPr>
                <w:rFonts w:cs="Arial"/>
                <w:sz w:val="22"/>
                <w:szCs w:val="22"/>
              </w:rPr>
              <w:t xml:space="preserve"> </w:t>
            </w:r>
            <w:r w:rsidRPr="00B75329">
              <w:rPr>
                <w:rFonts w:cs="Arial"/>
                <w:sz w:val="22"/>
                <w:szCs w:val="22"/>
              </w:rPr>
              <w:t xml:space="preserve">to undertake relevant </w:t>
            </w:r>
            <w:r w:rsidR="085DDA5B" w:rsidRPr="00B75329">
              <w:rPr>
                <w:rFonts w:cs="Arial"/>
                <w:sz w:val="22"/>
                <w:szCs w:val="22"/>
              </w:rPr>
              <w:t>CPD</w:t>
            </w:r>
            <w:r w:rsidR="79F1140C" w:rsidRPr="00B75329">
              <w:rPr>
                <w:rFonts w:cs="Arial"/>
                <w:sz w:val="22"/>
                <w:szCs w:val="22"/>
              </w:rPr>
              <w:t xml:space="preserve"> which supports improved understanding relating to the intended outcomes</w:t>
            </w:r>
            <w:r w:rsidRPr="00B75329">
              <w:rPr>
                <w:rFonts w:cs="Arial"/>
                <w:sz w:val="22"/>
                <w:szCs w:val="22"/>
              </w:rPr>
              <w:t xml:space="preserve"> for all staff</w:t>
            </w:r>
          </w:p>
        </w:tc>
        <w:tc>
          <w:tcPr>
            <w:tcW w:w="5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AE1C40" w14:textId="6D0666E9" w:rsidR="001F01F1" w:rsidRPr="00B75329" w:rsidRDefault="001F01F1" w:rsidP="00B20979">
            <w:pPr>
              <w:pStyle w:val="TableRowCentered"/>
              <w:ind w:left="0"/>
              <w:jc w:val="left"/>
              <w:rPr>
                <w:rFonts w:cs="Arial"/>
                <w:sz w:val="22"/>
              </w:rPr>
            </w:pPr>
            <w:r w:rsidRPr="00B75329">
              <w:rPr>
                <w:rFonts w:cs="Arial"/>
                <w:sz w:val="22"/>
              </w:rPr>
              <w:t>The National College offers the opportunity to continue CPD, have high-quality and up-to-date CPD, whilst being able to access it remotely.</w:t>
            </w:r>
          </w:p>
          <w:p w14:paraId="40B2E550" w14:textId="13AF5074" w:rsidR="00540C44" w:rsidRPr="00B75329" w:rsidRDefault="009B5768" w:rsidP="00B20979">
            <w:pPr>
              <w:pStyle w:val="TableRowCentered"/>
              <w:ind w:left="0"/>
              <w:jc w:val="left"/>
              <w:rPr>
                <w:rFonts w:cs="Arial"/>
                <w:sz w:val="22"/>
              </w:rPr>
            </w:pPr>
            <w:hyperlink r:id="rId17" w:history="1">
              <w:r w:rsidR="00540C44" w:rsidRPr="00B75329">
                <w:rPr>
                  <w:rStyle w:val="Hyperlink"/>
                  <w:rFonts w:cs="Arial"/>
                  <w:sz w:val="22"/>
                </w:rPr>
                <w:t>National College Testimonials</w:t>
              </w:r>
            </w:hyperlink>
            <w:r w:rsidR="00540C44" w:rsidRPr="00B75329">
              <w:rPr>
                <w:rFonts w:cs="Arial"/>
                <w:sz w:val="22"/>
              </w:rPr>
              <w:t xml:space="preserve"> </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140B80" w14:textId="192349EA" w:rsidR="00540C44" w:rsidRPr="00B75329" w:rsidRDefault="71929A8B" w:rsidP="3F205C40">
            <w:pPr>
              <w:pStyle w:val="TableRowCentered"/>
              <w:jc w:val="left"/>
              <w:rPr>
                <w:rFonts w:cs="Arial"/>
                <w:sz w:val="22"/>
                <w:szCs w:val="22"/>
              </w:rPr>
            </w:pPr>
            <w:r w:rsidRPr="00B75329">
              <w:rPr>
                <w:rFonts w:cs="Arial"/>
                <w:sz w:val="22"/>
                <w:szCs w:val="22"/>
              </w:rPr>
              <w:t>1,2</w:t>
            </w:r>
          </w:p>
        </w:tc>
      </w:tr>
      <w:tr w:rsidR="000F13E0" w:rsidRPr="00B75329" w14:paraId="300A6A9C" w14:textId="77777777" w:rsidTr="00B75DB7">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803AC0" w14:textId="3588ECDF" w:rsidR="00E925CB" w:rsidRPr="00B75329" w:rsidRDefault="6267BF4D" w:rsidP="3F205C40">
            <w:pPr>
              <w:pStyle w:val="TableRow"/>
              <w:ind w:left="0"/>
              <w:rPr>
                <w:rFonts w:cs="Arial"/>
                <w:sz w:val="22"/>
                <w:szCs w:val="22"/>
              </w:rPr>
            </w:pPr>
            <w:r w:rsidRPr="00B75329">
              <w:rPr>
                <w:rFonts w:cs="Arial"/>
                <w:sz w:val="22"/>
                <w:szCs w:val="22"/>
              </w:rPr>
              <w:t xml:space="preserve">Plan </w:t>
            </w:r>
            <w:r w:rsidR="63FE683E" w:rsidRPr="00B75329">
              <w:rPr>
                <w:rFonts w:cs="Arial"/>
                <w:sz w:val="22"/>
                <w:szCs w:val="22"/>
              </w:rPr>
              <w:t xml:space="preserve">for </w:t>
            </w:r>
            <w:r w:rsidRPr="00B75329">
              <w:rPr>
                <w:rFonts w:cs="Arial"/>
                <w:sz w:val="22"/>
                <w:szCs w:val="22"/>
              </w:rPr>
              <w:t>and deliver a high quality, well</w:t>
            </w:r>
            <w:r w:rsidR="2C5AB4F2" w:rsidRPr="00B75329">
              <w:rPr>
                <w:rFonts w:cs="Arial"/>
                <w:sz w:val="22"/>
                <w:szCs w:val="22"/>
              </w:rPr>
              <w:t>-</w:t>
            </w:r>
            <w:r w:rsidRPr="00B75329">
              <w:rPr>
                <w:rFonts w:cs="Arial"/>
                <w:sz w:val="22"/>
                <w:szCs w:val="22"/>
              </w:rPr>
              <w:t xml:space="preserve">planned and </w:t>
            </w:r>
            <w:r w:rsidR="36F6BC05" w:rsidRPr="00B75329">
              <w:rPr>
                <w:rFonts w:cs="Arial"/>
                <w:sz w:val="22"/>
                <w:szCs w:val="22"/>
              </w:rPr>
              <w:t xml:space="preserve">relevant </w:t>
            </w:r>
            <w:r w:rsidRPr="00B75329">
              <w:rPr>
                <w:rFonts w:cs="Arial"/>
                <w:sz w:val="22"/>
                <w:szCs w:val="22"/>
              </w:rPr>
              <w:t xml:space="preserve">education which </w:t>
            </w:r>
            <w:r w:rsidR="2CB958DF" w:rsidRPr="00B75329">
              <w:rPr>
                <w:rFonts w:cs="Arial"/>
                <w:sz w:val="22"/>
                <w:szCs w:val="22"/>
              </w:rPr>
              <w:t>extends pupils</w:t>
            </w:r>
            <w:r w:rsidR="2FA611A8" w:rsidRPr="00B75329">
              <w:rPr>
                <w:rFonts w:cs="Arial"/>
                <w:sz w:val="22"/>
                <w:szCs w:val="22"/>
              </w:rPr>
              <w:t>’</w:t>
            </w:r>
            <w:r w:rsidR="2CB958DF" w:rsidRPr="00B75329">
              <w:rPr>
                <w:rFonts w:cs="Arial"/>
                <w:sz w:val="22"/>
                <w:szCs w:val="22"/>
              </w:rPr>
              <w:t xml:space="preserve"> knowledge and understanding whilst addressing identified gaps in learning</w:t>
            </w:r>
          </w:p>
        </w:tc>
        <w:tc>
          <w:tcPr>
            <w:tcW w:w="5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64C7AD" w14:textId="13163DCF" w:rsidR="00A577CB" w:rsidRPr="00B75329" w:rsidRDefault="388F286B" w:rsidP="3F205C40">
            <w:pPr>
              <w:pStyle w:val="TableRowCentered"/>
              <w:ind w:left="0"/>
              <w:jc w:val="left"/>
              <w:rPr>
                <w:rFonts w:cs="Arial"/>
                <w:sz w:val="22"/>
                <w:szCs w:val="22"/>
              </w:rPr>
            </w:pPr>
            <w:r w:rsidRPr="00B75329">
              <w:rPr>
                <w:rFonts w:cs="Arial"/>
                <w:sz w:val="22"/>
                <w:szCs w:val="22"/>
              </w:rPr>
              <w:t xml:space="preserve">All evidence from the EEF acknowledges that </w:t>
            </w:r>
            <w:r w:rsidR="10738EBD" w:rsidRPr="00B75329">
              <w:rPr>
                <w:rFonts w:cs="Arial"/>
                <w:sz w:val="22"/>
                <w:szCs w:val="22"/>
              </w:rPr>
              <w:t xml:space="preserve">high quality </w:t>
            </w:r>
            <w:r w:rsidRPr="00B75329">
              <w:rPr>
                <w:rFonts w:cs="Arial"/>
                <w:sz w:val="22"/>
                <w:szCs w:val="22"/>
              </w:rPr>
              <w:t xml:space="preserve">teaching is the most important </w:t>
            </w:r>
            <w:r w:rsidR="7C127DE9" w:rsidRPr="00B75329">
              <w:rPr>
                <w:rFonts w:cs="Arial"/>
                <w:sz w:val="22"/>
                <w:szCs w:val="22"/>
              </w:rPr>
              <w:t xml:space="preserve">tool </w:t>
            </w:r>
            <w:r w:rsidRPr="00B75329">
              <w:rPr>
                <w:rFonts w:cs="Arial"/>
                <w:sz w:val="22"/>
                <w:szCs w:val="22"/>
              </w:rPr>
              <w:t xml:space="preserve">schools have to improve outcomes for all </w:t>
            </w:r>
            <w:r w:rsidR="3EAAB187" w:rsidRPr="00B75329">
              <w:rPr>
                <w:rFonts w:cs="Arial"/>
                <w:sz w:val="22"/>
                <w:szCs w:val="22"/>
              </w:rPr>
              <w:t>pupils</w:t>
            </w:r>
            <w:r w:rsidRPr="00B75329">
              <w:rPr>
                <w:rFonts w:cs="Arial"/>
                <w:sz w:val="22"/>
                <w:szCs w:val="22"/>
              </w:rPr>
              <w:t xml:space="preserve">. </w:t>
            </w:r>
          </w:p>
          <w:p w14:paraId="3CFEFA79" w14:textId="297820DA" w:rsidR="000F13E0" w:rsidRPr="00B75329" w:rsidRDefault="009B5768" w:rsidP="001F01F1">
            <w:pPr>
              <w:pStyle w:val="TableRowCentered"/>
              <w:ind w:left="0"/>
              <w:jc w:val="left"/>
              <w:rPr>
                <w:rFonts w:cs="Arial"/>
                <w:sz w:val="22"/>
              </w:rPr>
            </w:pPr>
            <w:hyperlink r:id="rId18" w:history="1">
              <w:r w:rsidR="000F13E0" w:rsidRPr="00B75329">
                <w:rPr>
                  <w:rStyle w:val="Hyperlink"/>
                  <w:rFonts w:cs="Arial"/>
                  <w:sz w:val="22"/>
                </w:rPr>
                <w:t>Improving Literacy in KS2</w:t>
              </w:r>
            </w:hyperlink>
            <w:r w:rsidR="00A577CB" w:rsidRPr="00B75329">
              <w:rPr>
                <w:rFonts w:cs="Arial"/>
                <w:sz w:val="22"/>
              </w:rPr>
              <w:t xml:space="preserve"> (EEF)</w:t>
            </w:r>
          </w:p>
          <w:p w14:paraId="0B6479D6" w14:textId="5AF3544B" w:rsidR="000F13E0" w:rsidRPr="00B75329" w:rsidRDefault="009B5768" w:rsidP="001F01F1">
            <w:pPr>
              <w:pStyle w:val="TableRowCentered"/>
              <w:ind w:left="0"/>
              <w:jc w:val="left"/>
              <w:rPr>
                <w:rFonts w:cs="Arial"/>
                <w:sz w:val="22"/>
              </w:rPr>
            </w:pPr>
            <w:hyperlink r:id="rId19" w:history="1">
              <w:r w:rsidR="000F13E0" w:rsidRPr="00B75329">
                <w:rPr>
                  <w:rStyle w:val="Hyperlink"/>
                  <w:rFonts w:cs="Arial"/>
                  <w:sz w:val="22"/>
                </w:rPr>
                <w:t>Improving Literacy in KS1</w:t>
              </w:r>
            </w:hyperlink>
            <w:r w:rsidR="00A577CB" w:rsidRPr="00B75329">
              <w:rPr>
                <w:rFonts w:cs="Arial"/>
                <w:sz w:val="22"/>
              </w:rPr>
              <w:t xml:space="preserve"> (EEF)</w:t>
            </w:r>
          </w:p>
          <w:p w14:paraId="500424F5" w14:textId="42C0F058" w:rsidR="000F13E0" w:rsidRPr="00B75329" w:rsidRDefault="009B5768" w:rsidP="001F01F1">
            <w:pPr>
              <w:pStyle w:val="TableRowCentered"/>
              <w:ind w:left="0"/>
              <w:jc w:val="left"/>
              <w:rPr>
                <w:rFonts w:cs="Arial"/>
                <w:sz w:val="22"/>
              </w:rPr>
            </w:pPr>
            <w:hyperlink r:id="rId20" w:history="1">
              <w:r w:rsidR="000F13E0" w:rsidRPr="00B75329">
                <w:rPr>
                  <w:rStyle w:val="Hyperlink"/>
                  <w:rFonts w:cs="Arial"/>
                  <w:sz w:val="22"/>
                </w:rPr>
                <w:t>Improving Maths in KS2</w:t>
              </w:r>
            </w:hyperlink>
            <w:r w:rsidR="00A577CB" w:rsidRPr="00B75329">
              <w:rPr>
                <w:rFonts w:cs="Arial"/>
                <w:sz w:val="22"/>
              </w:rPr>
              <w:t xml:space="preserve"> (EEF)</w:t>
            </w:r>
          </w:p>
          <w:p w14:paraId="565AB902" w14:textId="388D0F70" w:rsidR="000F13E0" w:rsidRPr="00B75329" w:rsidRDefault="009B5768" w:rsidP="001F01F1">
            <w:pPr>
              <w:pStyle w:val="TableRowCentered"/>
              <w:ind w:left="0"/>
              <w:jc w:val="left"/>
              <w:rPr>
                <w:rFonts w:cs="Arial"/>
                <w:sz w:val="22"/>
              </w:rPr>
            </w:pPr>
            <w:hyperlink r:id="rId21" w:history="1">
              <w:r w:rsidR="000F13E0" w:rsidRPr="00B75329">
                <w:rPr>
                  <w:rStyle w:val="Hyperlink"/>
                  <w:rFonts w:cs="Arial"/>
                  <w:sz w:val="22"/>
                </w:rPr>
                <w:t>Improving Maths in KS1</w:t>
              </w:r>
            </w:hyperlink>
            <w:r w:rsidR="00A577CB" w:rsidRPr="00B75329">
              <w:rPr>
                <w:rFonts w:cs="Arial"/>
                <w:sz w:val="22"/>
              </w:rPr>
              <w:t xml:space="preserve"> (EEF)</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852B9" w14:textId="4F94C392" w:rsidR="000F13E0" w:rsidRPr="00B75329" w:rsidRDefault="60D96639" w:rsidP="3F205C40">
            <w:pPr>
              <w:pStyle w:val="TableRowCentered"/>
              <w:jc w:val="left"/>
              <w:rPr>
                <w:rFonts w:cs="Arial"/>
                <w:sz w:val="22"/>
                <w:szCs w:val="22"/>
              </w:rPr>
            </w:pPr>
            <w:r w:rsidRPr="00B75329">
              <w:rPr>
                <w:rFonts w:cs="Arial"/>
                <w:sz w:val="22"/>
                <w:szCs w:val="22"/>
              </w:rPr>
              <w:t>1,2,</w:t>
            </w:r>
            <w:r w:rsidR="6C2A5857" w:rsidRPr="00B75329">
              <w:rPr>
                <w:rFonts w:cs="Arial"/>
                <w:sz w:val="22"/>
                <w:szCs w:val="22"/>
              </w:rPr>
              <w:t>3</w:t>
            </w:r>
          </w:p>
        </w:tc>
      </w:tr>
      <w:tr w:rsidR="00870847" w:rsidRPr="00B75329" w14:paraId="017A1FE4" w14:textId="77777777" w:rsidTr="00B75DB7">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13B9BA" w14:textId="5CC8551B" w:rsidR="00870847" w:rsidRPr="00B75329" w:rsidRDefault="114BBBD5" w:rsidP="3577CD6D">
            <w:pPr>
              <w:pStyle w:val="TableRow"/>
              <w:ind w:left="0"/>
              <w:rPr>
                <w:rFonts w:cs="Arial"/>
                <w:sz w:val="22"/>
                <w:szCs w:val="22"/>
              </w:rPr>
            </w:pPr>
            <w:r w:rsidRPr="00B75329">
              <w:rPr>
                <w:rFonts w:cs="Arial"/>
                <w:sz w:val="22"/>
                <w:szCs w:val="22"/>
              </w:rPr>
              <w:t>Implement ‘</w:t>
            </w:r>
            <w:proofErr w:type="spellStart"/>
            <w:r w:rsidR="007E5BE1" w:rsidRPr="00B75329">
              <w:rPr>
                <w:rFonts w:cs="Arial"/>
                <w:sz w:val="22"/>
                <w:szCs w:val="22"/>
              </w:rPr>
              <w:t>Lttle</w:t>
            </w:r>
            <w:proofErr w:type="spellEnd"/>
            <w:r w:rsidR="007E5BE1" w:rsidRPr="00B75329">
              <w:rPr>
                <w:rFonts w:cs="Arial"/>
                <w:sz w:val="22"/>
                <w:szCs w:val="22"/>
              </w:rPr>
              <w:t xml:space="preserve"> </w:t>
            </w:r>
            <w:proofErr w:type="spellStart"/>
            <w:r w:rsidR="007E5BE1" w:rsidRPr="00B75329">
              <w:rPr>
                <w:rFonts w:cs="Arial"/>
                <w:sz w:val="22"/>
                <w:szCs w:val="22"/>
              </w:rPr>
              <w:t>Wandle</w:t>
            </w:r>
            <w:proofErr w:type="spellEnd"/>
            <w:r w:rsidR="007E5BE1" w:rsidRPr="00B75329">
              <w:rPr>
                <w:rFonts w:cs="Arial"/>
                <w:sz w:val="22"/>
                <w:szCs w:val="22"/>
              </w:rPr>
              <w:t xml:space="preserve"> Phonics</w:t>
            </w:r>
            <w:r w:rsidR="12B0B39C" w:rsidRPr="00B75329">
              <w:rPr>
                <w:rFonts w:cs="Arial"/>
                <w:sz w:val="22"/>
                <w:szCs w:val="22"/>
              </w:rPr>
              <w:t xml:space="preserve"> in order to:</w:t>
            </w:r>
          </w:p>
          <w:p w14:paraId="109363C0" w14:textId="3568C082" w:rsidR="00E925CB" w:rsidRPr="00B75329" w:rsidRDefault="752B85C3" w:rsidP="007E5BE1">
            <w:pPr>
              <w:pStyle w:val="TableRow"/>
              <w:ind w:left="0"/>
              <w:rPr>
                <w:rFonts w:eastAsia="Calibri" w:cs="Arial"/>
                <w:color w:val="0D0D0D" w:themeColor="text1" w:themeTint="F2"/>
                <w:sz w:val="22"/>
                <w:szCs w:val="22"/>
              </w:rPr>
            </w:pPr>
            <w:r w:rsidRPr="00B75329">
              <w:rPr>
                <w:rFonts w:cs="Arial"/>
                <w:color w:val="0D0D0D" w:themeColor="text1" w:themeTint="F2"/>
                <w:sz w:val="22"/>
                <w:szCs w:val="22"/>
              </w:rPr>
              <w:t>Track progress</w:t>
            </w:r>
            <w:r w:rsidR="007E5BE1" w:rsidRPr="00B75329">
              <w:rPr>
                <w:rFonts w:cs="Arial"/>
                <w:color w:val="0D0D0D" w:themeColor="text1" w:themeTint="F2"/>
                <w:sz w:val="22"/>
                <w:szCs w:val="22"/>
              </w:rPr>
              <w:t xml:space="preserve"> and </w:t>
            </w:r>
          </w:p>
          <w:p w14:paraId="452F136A" w14:textId="25C0A8C9" w:rsidR="00E925CB" w:rsidRPr="00B75329" w:rsidRDefault="00B75DB7" w:rsidP="007E5BE1">
            <w:pPr>
              <w:pStyle w:val="TableRow"/>
              <w:ind w:left="0"/>
              <w:rPr>
                <w:rFonts w:cs="Arial"/>
                <w:color w:val="0D0D0D" w:themeColor="text1" w:themeTint="F2"/>
                <w:sz w:val="22"/>
                <w:szCs w:val="22"/>
              </w:rPr>
            </w:pPr>
            <w:r w:rsidRPr="00B75329">
              <w:rPr>
                <w:rFonts w:cs="Arial"/>
                <w:color w:val="0D0D0D" w:themeColor="text1" w:themeTint="F2"/>
                <w:sz w:val="22"/>
                <w:szCs w:val="22"/>
              </w:rPr>
              <w:t>p</w:t>
            </w:r>
            <w:r w:rsidR="007E5BE1" w:rsidRPr="00B75329">
              <w:rPr>
                <w:rFonts w:cs="Arial"/>
                <w:color w:val="0D0D0D" w:themeColor="text1" w:themeTint="F2"/>
                <w:sz w:val="22"/>
                <w:szCs w:val="22"/>
              </w:rPr>
              <w:t>rovide consistent curriculum and technique across all years</w:t>
            </w:r>
          </w:p>
        </w:tc>
        <w:tc>
          <w:tcPr>
            <w:tcW w:w="5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794F2B" w14:textId="7BCFE880" w:rsidR="00870847" w:rsidRPr="00B75329" w:rsidRDefault="007E5BE1">
            <w:pPr>
              <w:pStyle w:val="TableRowCentered"/>
              <w:jc w:val="left"/>
              <w:rPr>
                <w:rFonts w:cs="Arial"/>
                <w:sz w:val="22"/>
              </w:rPr>
            </w:pPr>
            <w:r w:rsidRPr="00B75329">
              <w:rPr>
                <w:rFonts w:cs="Arial"/>
                <w:sz w:val="22"/>
              </w:rPr>
              <w:t>Little Wandle Letters and Sounds is the fastest growing Department for Education-validated phonics programme, already supporting over 5,000 schools to teach every child to learn to read.</w:t>
            </w:r>
          </w:p>
          <w:p w14:paraId="3A08963C" w14:textId="4BFDF71D" w:rsidR="007E5BE1" w:rsidRPr="00B75329" w:rsidRDefault="009B5768">
            <w:pPr>
              <w:pStyle w:val="TableRowCentered"/>
              <w:jc w:val="left"/>
              <w:rPr>
                <w:rFonts w:cs="Arial"/>
                <w:sz w:val="22"/>
              </w:rPr>
            </w:pPr>
            <w:hyperlink r:id="rId22" w:history="1">
              <w:r w:rsidR="007E5BE1" w:rsidRPr="00B75329">
                <w:rPr>
                  <w:rStyle w:val="Hyperlink"/>
                  <w:rFonts w:cs="Arial"/>
                  <w:sz w:val="22"/>
                </w:rPr>
                <w:t>https://www.littlewandlelettersandsounds.org.uk/about-us/our-impact/</w:t>
              </w:r>
            </w:hyperlink>
            <w:r w:rsidR="007E5BE1" w:rsidRPr="00B75329">
              <w:rPr>
                <w:rFonts w:cs="Arial"/>
                <w:sz w:val="22"/>
              </w:rPr>
              <w:t xml:space="preserve"> </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7855A2" w14:textId="3D9513A6" w:rsidR="00870847" w:rsidRPr="00B75329" w:rsidRDefault="67383CA0" w:rsidP="3F205C40">
            <w:pPr>
              <w:pStyle w:val="TableRowCentered"/>
              <w:jc w:val="left"/>
              <w:rPr>
                <w:rFonts w:cs="Arial"/>
                <w:sz w:val="22"/>
                <w:szCs w:val="22"/>
              </w:rPr>
            </w:pPr>
            <w:r w:rsidRPr="00B75329">
              <w:rPr>
                <w:rFonts w:cs="Arial"/>
                <w:sz w:val="22"/>
                <w:szCs w:val="22"/>
              </w:rPr>
              <w:t>1</w:t>
            </w:r>
          </w:p>
        </w:tc>
      </w:tr>
    </w:tbl>
    <w:p w14:paraId="70DC7A5C" w14:textId="77777777" w:rsidR="00E925CB" w:rsidRPr="00B75329" w:rsidRDefault="00E925CB">
      <w:pPr>
        <w:keepNext/>
        <w:spacing w:after="60"/>
        <w:outlineLvl w:val="1"/>
        <w:rPr>
          <w:rFonts w:cs="Arial"/>
        </w:rPr>
      </w:pPr>
    </w:p>
    <w:p w14:paraId="456C92A5" w14:textId="77777777" w:rsidR="00B75DB7" w:rsidRPr="00B75329" w:rsidRDefault="00B75DB7" w:rsidP="3F205C40">
      <w:pPr>
        <w:rPr>
          <w:rFonts w:cs="Arial"/>
          <w:b/>
          <w:bCs/>
          <w:color w:val="104F75"/>
          <w:sz w:val="28"/>
          <w:szCs w:val="28"/>
        </w:rPr>
      </w:pPr>
    </w:p>
    <w:p w14:paraId="4003CD97" w14:textId="671C5819" w:rsidR="009D71E8" w:rsidRPr="00B75329" w:rsidRDefault="009D71E8" w:rsidP="3F205C40">
      <w:pPr>
        <w:rPr>
          <w:rFonts w:cs="Arial"/>
          <w:b/>
          <w:bCs/>
          <w:color w:val="104F75"/>
          <w:sz w:val="28"/>
          <w:szCs w:val="28"/>
        </w:rPr>
      </w:pPr>
      <w:r w:rsidRPr="00B75329">
        <w:rPr>
          <w:rFonts w:cs="Arial"/>
          <w:b/>
          <w:bCs/>
          <w:color w:val="104F75"/>
          <w:sz w:val="28"/>
          <w:szCs w:val="28"/>
        </w:rPr>
        <w:lastRenderedPageBreak/>
        <w:t>Targeted academic support</w:t>
      </w:r>
      <w:r w:rsidR="582633E1" w:rsidRPr="00B75329">
        <w:rPr>
          <w:rFonts w:cs="Arial"/>
          <w:b/>
          <w:bCs/>
          <w:color w:val="104F75"/>
          <w:sz w:val="28"/>
          <w:szCs w:val="28"/>
        </w:rPr>
        <w:t xml:space="preserve"> (Tier 2)</w:t>
      </w:r>
    </w:p>
    <w:p w14:paraId="2A7D5524" w14:textId="644B0D4E" w:rsidR="00E66558" w:rsidRPr="00B75329" w:rsidRDefault="009D71E8" w:rsidP="34F9AF46">
      <w:pPr>
        <w:pStyle w:val="TableRow"/>
        <w:rPr>
          <w:rFonts w:cs="Arial"/>
          <w:color w:val="000000" w:themeColor="text1"/>
        </w:rPr>
      </w:pPr>
      <w:r w:rsidRPr="00B75329">
        <w:rPr>
          <w:rFonts w:cs="Arial"/>
        </w:rPr>
        <w:t>Budgeted cost</w:t>
      </w:r>
      <w:r w:rsidR="0E830B2C" w:rsidRPr="00B75329">
        <w:rPr>
          <w:rFonts w:cs="Arial"/>
        </w:rPr>
        <w:t xml:space="preserve">: TA Hours + </w:t>
      </w:r>
      <w:r w:rsidR="00E653A8" w:rsidRPr="00B75329">
        <w:rPr>
          <w:rFonts w:cs="Arial"/>
        </w:rPr>
        <w:t>S</w:t>
      </w:r>
      <w:r w:rsidR="0E830B2C" w:rsidRPr="00B75329">
        <w:rPr>
          <w:rFonts w:cs="Arial"/>
          <w:color w:val="000000" w:themeColor="text1"/>
        </w:rPr>
        <w:t>choo</w:t>
      </w:r>
      <w:r w:rsidR="00B75DB7" w:rsidRPr="00B75329">
        <w:rPr>
          <w:rFonts w:cs="Arial"/>
          <w:color w:val="000000" w:themeColor="text1"/>
        </w:rPr>
        <w:t>l</w:t>
      </w:r>
      <w:r w:rsidR="0E830B2C" w:rsidRPr="00B75329">
        <w:rPr>
          <w:rFonts w:cs="Arial"/>
          <w:color w:val="000000" w:themeColor="text1"/>
        </w:rPr>
        <w:t>-led Tutoring Fund</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B75329" w14:paraId="2A7D5528" w14:textId="77777777" w:rsidTr="34F9AF4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Pr="00B75329" w:rsidRDefault="009D71E8">
            <w:pPr>
              <w:pStyle w:val="TableHeader"/>
              <w:jc w:val="left"/>
              <w:rPr>
                <w:rFonts w:cs="Arial"/>
              </w:rPr>
            </w:pPr>
            <w:r w:rsidRPr="00B75329">
              <w:rPr>
                <w:rFonts w:cs="Arial"/>
              </w:rP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Pr="00B75329" w:rsidRDefault="009D71E8">
            <w:pPr>
              <w:pStyle w:val="TableHeader"/>
              <w:jc w:val="left"/>
              <w:rPr>
                <w:rFonts w:cs="Arial"/>
              </w:rPr>
            </w:pPr>
            <w:r w:rsidRPr="00B75329">
              <w:rPr>
                <w:rFonts w:cs="Arial"/>
              </w:rP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Pr="00B75329" w:rsidRDefault="009D71E8">
            <w:pPr>
              <w:pStyle w:val="TableHeader"/>
              <w:jc w:val="left"/>
              <w:rPr>
                <w:rFonts w:cs="Arial"/>
              </w:rPr>
            </w:pPr>
            <w:r w:rsidRPr="00B75329">
              <w:rPr>
                <w:rFonts w:cs="Arial"/>
              </w:rPr>
              <w:t>Challenge number(s) addressed</w:t>
            </w:r>
          </w:p>
        </w:tc>
      </w:tr>
      <w:tr w:rsidR="00E66558" w:rsidRPr="00B75329" w14:paraId="2A7D552C" w14:textId="77777777" w:rsidTr="34F9AF4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31F0EADF" w:rsidR="00E66558" w:rsidRPr="00B75329" w:rsidRDefault="230828E8" w:rsidP="3577CD6D">
            <w:pPr>
              <w:pStyle w:val="TableRow"/>
              <w:rPr>
                <w:rFonts w:cs="Arial"/>
                <w:sz w:val="22"/>
                <w:szCs w:val="22"/>
              </w:rPr>
            </w:pPr>
            <w:r w:rsidRPr="00B75329">
              <w:rPr>
                <w:rFonts w:cs="Arial"/>
                <w:sz w:val="22"/>
                <w:szCs w:val="22"/>
              </w:rPr>
              <w:t>1:1 and small group support from Teaching Assistant Interventions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0F1243" w14:textId="38F95A1A" w:rsidR="00A577CB" w:rsidRPr="00B75329" w:rsidRDefault="00A577CB" w:rsidP="006243F2">
            <w:pPr>
              <w:pStyle w:val="TableRowCentered"/>
              <w:ind w:left="0"/>
              <w:jc w:val="left"/>
              <w:rPr>
                <w:rFonts w:cs="Arial"/>
                <w:sz w:val="22"/>
              </w:rPr>
            </w:pPr>
            <w:r w:rsidRPr="00B75329">
              <w:rPr>
                <w:rFonts w:cs="Arial"/>
                <w:sz w:val="22"/>
              </w:rPr>
              <w:t>Well-evidenced teaching assistant interventions can be targeted at pupils that require additional support and can help previously low attaining pupils overcome barriers to learning and ​‘catch-up’ with previously higher attaining pupils.</w:t>
            </w:r>
          </w:p>
          <w:p w14:paraId="5920C6AC" w14:textId="46308269" w:rsidR="00E66558" w:rsidRPr="00B75329" w:rsidRDefault="009B5768" w:rsidP="006243F2">
            <w:pPr>
              <w:pStyle w:val="TableRowCentered"/>
              <w:ind w:left="0"/>
              <w:jc w:val="left"/>
              <w:rPr>
                <w:rFonts w:cs="Arial"/>
                <w:sz w:val="22"/>
              </w:rPr>
            </w:pPr>
            <w:hyperlink r:id="rId23" w:history="1">
              <w:r w:rsidR="00AD1D51" w:rsidRPr="00B75329">
                <w:rPr>
                  <w:rStyle w:val="Hyperlink"/>
                  <w:rFonts w:cs="Arial"/>
                  <w:sz w:val="22"/>
                </w:rPr>
                <w:t>Teaching Assistant Interventions</w:t>
              </w:r>
            </w:hyperlink>
            <w:r w:rsidR="006243F2" w:rsidRPr="00B75329">
              <w:rPr>
                <w:rFonts w:cs="Arial"/>
                <w:sz w:val="22"/>
              </w:rPr>
              <w:t xml:space="preserve"> (EEF)</w:t>
            </w:r>
          </w:p>
          <w:p w14:paraId="2BA583DA" w14:textId="27539CCD" w:rsidR="00A577CB" w:rsidRPr="00B75329" w:rsidRDefault="00A577CB" w:rsidP="006243F2">
            <w:pPr>
              <w:pStyle w:val="TableRowCentered"/>
              <w:ind w:left="0"/>
              <w:jc w:val="left"/>
              <w:rPr>
                <w:rFonts w:cs="Arial"/>
                <w:sz w:val="22"/>
                <w:lang w:val="en-US"/>
              </w:rPr>
            </w:pPr>
            <w:r w:rsidRPr="00B75329">
              <w:rPr>
                <w:rFonts w:cs="Arial"/>
                <w:sz w:val="22"/>
                <w:lang w:val="en-US"/>
              </w:rPr>
              <w:t>Disadvantaged pupils may be more likely to be affected by higher school absence rates and lower attainment, on average, when compared to their more advantaged peers. This means disadvantaged pupils may be more likely to progress through school with gaps in their understanding, which will affect how quickly and easily they can acquire and connect new learning.</w:t>
            </w:r>
          </w:p>
          <w:p w14:paraId="07C0033D" w14:textId="77777777" w:rsidR="00A577CB" w:rsidRPr="00B75329" w:rsidRDefault="00A577CB" w:rsidP="006243F2">
            <w:pPr>
              <w:pStyle w:val="TableRowCentered"/>
              <w:jc w:val="left"/>
              <w:rPr>
                <w:rFonts w:cs="Arial"/>
                <w:sz w:val="22"/>
                <w:lang w:val="en-US"/>
              </w:rPr>
            </w:pPr>
            <w:r w:rsidRPr="00B75329">
              <w:rPr>
                <w:rFonts w:cs="Arial"/>
                <w:sz w:val="22"/>
                <w:lang w:val="en-US"/>
              </w:rPr>
              <w:t xml:space="preserve">For pupils identified as having low prior attainment or at risk of falling behind, </w:t>
            </w:r>
            <w:proofErr w:type="spellStart"/>
            <w:r w:rsidRPr="00B75329">
              <w:rPr>
                <w:rFonts w:cs="Arial"/>
                <w:sz w:val="22"/>
                <w:lang w:val="en-US"/>
              </w:rPr>
              <w:t>individualised</w:t>
            </w:r>
            <w:proofErr w:type="spellEnd"/>
            <w:r w:rsidRPr="00B75329">
              <w:rPr>
                <w:rFonts w:cs="Arial"/>
                <w:sz w:val="22"/>
                <w:lang w:val="en-US"/>
              </w:rPr>
              <w:t xml:space="preserve"> instruction may allow the teacher to provide activities that are closely matched to a pupil’s attainment.</w:t>
            </w:r>
          </w:p>
          <w:p w14:paraId="2A7D552A" w14:textId="5F0F1EB5" w:rsidR="00D029CD" w:rsidRPr="00B75329" w:rsidRDefault="009B5768" w:rsidP="006243F2">
            <w:pPr>
              <w:pStyle w:val="TableRowCentered"/>
              <w:ind w:left="0"/>
              <w:jc w:val="left"/>
              <w:rPr>
                <w:rFonts w:cs="Arial"/>
                <w:sz w:val="22"/>
              </w:rPr>
            </w:pPr>
            <w:hyperlink r:id="rId24" w:history="1">
              <w:r w:rsidR="00D029CD" w:rsidRPr="00B75329">
                <w:rPr>
                  <w:rStyle w:val="Hyperlink"/>
                  <w:rFonts w:cs="Arial"/>
                  <w:sz w:val="22"/>
                </w:rPr>
                <w:t>Individualised Instruction</w:t>
              </w:r>
            </w:hyperlink>
            <w:r w:rsidR="00D029CD" w:rsidRPr="00B75329">
              <w:rPr>
                <w:rFonts w:cs="Arial"/>
                <w:sz w:val="22"/>
              </w:rPr>
              <w:t xml:space="preserve"> </w:t>
            </w:r>
            <w:r w:rsidR="006243F2" w:rsidRPr="00B75329">
              <w:rPr>
                <w:rFonts w:cs="Arial"/>
                <w:sz w:val="22"/>
              </w:rPr>
              <w:t>(EEF)</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4D053C0C" w:rsidR="00E66558" w:rsidRPr="00B75329" w:rsidRDefault="0E926216" w:rsidP="3F205C40">
            <w:pPr>
              <w:pStyle w:val="TableRowCentered"/>
              <w:jc w:val="left"/>
              <w:rPr>
                <w:rFonts w:cs="Arial"/>
                <w:sz w:val="22"/>
                <w:szCs w:val="22"/>
              </w:rPr>
            </w:pPr>
            <w:r w:rsidRPr="00B75329">
              <w:rPr>
                <w:rFonts w:cs="Arial"/>
                <w:sz w:val="22"/>
                <w:szCs w:val="22"/>
              </w:rPr>
              <w:t>1,2</w:t>
            </w:r>
          </w:p>
        </w:tc>
      </w:tr>
      <w:tr w:rsidR="00E66558" w:rsidRPr="00B75329" w14:paraId="2A7D5530" w14:textId="77777777" w:rsidTr="34F9AF4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D" w14:textId="4F4752FE" w:rsidR="00E66558" w:rsidRPr="00B75329" w:rsidRDefault="4331190A" w:rsidP="3577CD6D">
            <w:pPr>
              <w:pStyle w:val="TableRow"/>
              <w:rPr>
                <w:rFonts w:cs="Arial"/>
                <w:sz w:val="22"/>
                <w:szCs w:val="22"/>
              </w:rPr>
            </w:pPr>
            <w:r w:rsidRPr="00B75329">
              <w:rPr>
                <w:rFonts w:cs="Arial"/>
                <w:sz w:val="22"/>
                <w:szCs w:val="22"/>
              </w:rPr>
              <w:t>S</w:t>
            </w:r>
            <w:r w:rsidR="407CADF3" w:rsidRPr="00B75329">
              <w:rPr>
                <w:rFonts w:cs="Arial"/>
                <w:sz w:val="22"/>
                <w:szCs w:val="22"/>
              </w:rPr>
              <w:t>mall group tuition from Teaching Team</w:t>
            </w:r>
            <w:r w:rsidR="3794D144" w:rsidRPr="00B75329">
              <w:rPr>
                <w:rFonts w:cs="Arial"/>
                <w:sz w:val="22"/>
                <w:szCs w:val="22"/>
              </w:rPr>
              <w:t xml:space="preserve"> (including NTP)</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EF83E" w14:textId="77777777" w:rsidR="00A577CB" w:rsidRPr="00B75329" w:rsidRDefault="00A577CB" w:rsidP="00A577CB">
            <w:pPr>
              <w:pStyle w:val="TableRowCentered"/>
              <w:ind w:left="0"/>
              <w:jc w:val="left"/>
              <w:rPr>
                <w:rFonts w:cs="Arial"/>
                <w:sz w:val="22"/>
              </w:rPr>
            </w:pPr>
            <w:r w:rsidRPr="00B75329">
              <w:rPr>
                <w:rFonts w:cs="Arial"/>
                <w:sz w:val="22"/>
              </w:rPr>
              <w:t>Studies in England have shown that pupils eligible for free school meals typically receive additional benefits from small group tuition.</w:t>
            </w:r>
          </w:p>
          <w:p w14:paraId="658D1184" w14:textId="258FD0B5" w:rsidR="00A577CB" w:rsidRPr="00B75329" w:rsidRDefault="00A577CB" w:rsidP="00A577CB">
            <w:pPr>
              <w:pStyle w:val="TableRowCentered"/>
              <w:ind w:left="0"/>
              <w:jc w:val="left"/>
              <w:rPr>
                <w:rFonts w:cs="Arial"/>
                <w:sz w:val="22"/>
              </w:rPr>
            </w:pPr>
            <w:r w:rsidRPr="00B75329">
              <w:rPr>
                <w:rFonts w:cs="Arial"/>
                <w:sz w:val="22"/>
              </w:rPr>
              <w:t>Small group tuition approaches can support pupils to make effective progress by providing intensive, targeted academic support to those identified as having low prior attainment or at risk of falling behind.</w:t>
            </w:r>
          </w:p>
          <w:p w14:paraId="1608375E" w14:textId="5440CD64" w:rsidR="006243F2" w:rsidRPr="00B75329" w:rsidRDefault="009B5768" w:rsidP="00A577CB">
            <w:pPr>
              <w:pStyle w:val="TableRowCentered"/>
              <w:ind w:left="0"/>
              <w:jc w:val="left"/>
              <w:rPr>
                <w:rFonts w:cs="Arial"/>
                <w:sz w:val="22"/>
              </w:rPr>
            </w:pPr>
            <w:hyperlink r:id="rId25" w:history="1">
              <w:r w:rsidR="002C1A59" w:rsidRPr="00B75329">
                <w:rPr>
                  <w:rStyle w:val="Hyperlink"/>
                  <w:rFonts w:cs="Arial"/>
                  <w:sz w:val="22"/>
                </w:rPr>
                <w:t>Small Group Tuition</w:t>
              </w:r>
            </w:hyperlink>
            <w:r w:rsidR="002C1A59" w:rsidRPr="00B75329">
              <w:rPr>
                <w:rFonts w:cs="Arial"/>
                <w:sz w:val="22"/>
              </w:rPr>
              <w:t xml:space="preserve"> </w:t>
            </w:r>
          </w:p>
          <w:p w14:paraId="2A7D552E" w14:textId="77777777" w:rsidR="00E66558" w:rsidRPr="00B75329" w:rsidRDefault="00E66558">
            <w:pPr>
              <w:pStyle w:val="TableRowCentered"/>
              <w:jc w:val="left"/>
              <w:rPr>
                <w:rFonts w:cs="Arial"/>
                <w:sz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19CABD78" w:rsidR="00E66558" w:rsidRPr="00B75329" w:rsidRDefault="1519BF52" w:rsidP="3F205C40">
            <w:pPr>
              <w:pStyle w:val="TableRowCentered"/>
              <w:jc w:val="left"/>
              <w:rPr>
                <w:rFonts w:cs="Arial"/>
                <w:sz w:val="22"/>
                <w:szCs w:val="22"/>
              </w:rPr>
            </w:pPr>
            <w:r w:rsidRPr="00B75329">
              <w:rPr>
                <w:rFonts w:cs="Arial"/>
                <w:sz w:val="22"/>
                <w:szCs w:val="22"/>
              </w:rPr>
              <w:t>1</w:t>
            </w:r>
          </w:p>
        </w:tc>
      </w:tr>
      <w:tr w:rsidR="006243F2" w:rsidRPr="00B75329" w14:paraId="7E17B688" w14:textId="77777777" w:rsidTr="34F9AF4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3A37E" w14:textId="7167064D" w:rsidR="006243F2" w:rsidRPr="00B75329" w:rsidRDefault="45766C4E" w:rsidP="3577CD6D">
            <w:pPr>
              <w:pStyle w:val="TableRow"/>
              <w:rPr>
                <w:rFonts w:cs="Arial"/>
                <w:sz w:val="22"/>
                <w:szCs w:val="22"/>
              </w:rPr>
            </w:pPr>
            <w:r w:rsidRPr="00B75329">
              <w:rPr>
                <w:rFonts w:cs="Arial"/>
                <w:sz w:val="22"/>
                <w:szCs w:val="22"/>
              </w:rPr>
              <w:t xml:space="preserve">Targeted assessment and feedback from teacher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04973B" w14:textId="77777777" w:rsidR="006243F2" w:rsidRPr="00B75329" w:rsidRDefault="006243F2" w:rsidP="00A577CB">
            <w:pPr>
              <w:pStyle w:val="TableRowCentered"/>
              <w:ind w:left="0"/>
              <w:jc w:val="left"/>
              <w:rPr>
                <w:rFonts w:cs="Arial"/>
                <w:sz w:val="22"/>
              </w:rPr>
            </w:pPr>
            <w:r w:rsidRPr="00B75329">
              <w:rPr>
                <w:rFonts w:cs="Arial"/>
                <w:sz w:val="22"/>
              </w:rPr>
              <w:t>More targeted assessment and feedback may also support pupils to address misconceptions or overcome specific barriers to learning. </w:t>
            </w:r>
          </w:p>
          <w:p w14:paraId="4934112F" w14:textId="6DD5E813" w:rsidR="006243F2" w:rsidRPr="00B75329" w:rsidRDefault="009B5768" w:rsidP="00A577CB">
            <w:pPr>
              <w:pStyle w:val="TableRowCentered"/>
              <w:ind w:left="0"/>
              <w:jc w:val="left"/>
              <w:rPr>
                <w:rFonts w:cs="Arial"/>
                <w:sz w:val="22"/>
              </w:rPr>
            </w:pPr>
            <w:hyperlink r:id="rId26" w:history="1">
              <w:r w:rsidR="006243F2" w:rsidRPr="00B75329">
                <w:rPr>
                  <w:rStyle w:val="Hyperlink"/>
                  <w:rFonts w:cs="Arial"/>
                  <w:sz w:val="22"/>
                </w:rPr>
                <w:t>T</w:t>
              </w:r>
              <w:r w:rsidR="006243F2" w:rsidRPr="00B75329">
                <w:rPr>
                  <w:rStyle w:val="Hyperlink"/>
                  <w:rFonts w:cs="Arial"/>
                </w:rPr>
                <w:t>argeted</w:t>
              </w:r>
            </w:hyperlink>
            <w:r w:rsidR="006243F2" w:rsidRPr="00B75329">
              <w:rPr>
                <w:rFonts w:cs="Arial"/>
                <w:sz w:val="22"/>
              </w:rPr>
              <w:t xml:space="preserve"> Support (EEF)</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40DF1" w14:textId="75402325" w:rsidR="006243F2" w:rsidRPr="00B75329" w:rsidRDefault="04F3F223" w:rsidP="3F205C40">
            <w:pPr>
              <w:pStyle w:val="TableRowCentered"/>
              <w:jc w:val="left"/>
              <w:rPr>
                <w:rFonts w:cs="Arial"/>
                <w:sz w:val="22"/>
                <w:szCs w:val="22"/>
              </w:rPr>
            </w:pPr>
            <w:r w:rsidRPr="00B75329">
              <w:rPr>
                <w:rFonts w:cs="Arial"/>
                <w:sz w:val="22"/>
                <w:szCs w:val="22"/>
              </w:rPr>
              <w:t>1</w:t>
            </w:r>
          </w:p>
        </w:tc>
      </w:tr>
    </w:tbl>
    <w:p w14:paraId="2A7D5531" w14:textId="77777777" w:rsidR="00E66558" w:rsidRPr="00B75329" w:rsidRDefault="00E66558">
      <w:pPr>
        <w:spacing w:after="0"/>
        <w:rPr>
          <w:rFonts w:cs="Arial"/>
          <w:b/>
          <w:color w:val="104F75"/>
          <w:sz w:val="28"/>
          <w:szCs w:val="28"/>
        </w:rPr>
      </w:pPr>
    </w:p>
    <w:p w14:paraId="2A7D5532" w14:textId="2C14FE27" w:rsidR="00E66558" w:rsidRPr="00B75329" w:rsidRDefault="009D71E8" w:rsidP="3577CD6D">
      <w:pPr>
        <w:rPr>
          <w:rFonts w:cs="Arial"/>
          <w:b/>
          <w:bCs/>
          <w:color w:val="104F75"/>
          <w:sz w:val="28"/>
          <w:szCs w:val="28"/>
        </w:rPr>
      </w:pPr>
      <w:r w:rsidRPr="00B75329">
        <w:rPr>
          <w:rFonts w:cs="Arial"/>
          <w:b/>
          <w:bCs/>
          <w:color w:val="104F75"/>
          <w:sz w:val="28"/>
          <w:szCs w:val="28"/>
        </w:rPr>
        <w:lastRenderedPageBreak/>
        <w:t>Wider strategies (</w:t>
      </w:r>
      <w:r w:rsidR="26A01E7A" w:rsidRPr="00B75329">
        <w:rPr>
          <w:rFonts w:cs="Arial"/>
          <w:b/>
          <w:bCs/>
          <w:color w:val="104F75"/>
          <w:sz w:val="28"/>
          <w:szCs w:val="28"/>
        </w:rPr>
        <w:t>Tier 3)</w:t>
      </w:r>
    </w:p>
    <w:p w14:paraId="2A7D5533" w14:textId="1A2BF40C" w:rsidR="00E66558" w:rsidRPr="00B75329" w:rsidRDefault="009D71E8" w:rsidP="34F9AF46">
      <w:pPr>
        <w:spacing w:before="240" w:after="120"/>
        <w:rPr>
          <w:rFonts w:eastAsia="Arial" w:cs="Arial"/>
          <w:color w:val="000000" w:themeColor="text1"/>
        </w:rPr>
      </w:pPr>
      <w:r w:rsidRPr="00B75329">
        <w:rPr>
          <w:rFonts w:cs="Arial"/>
        </w:rPr>
        <w:t xml:space="preserve">Budgeted cost: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B75329" w14:paraId="2A7D5537" w14:textId="77777777" w:rsidTr="6FFE213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Pr="00B75329" w:rsidRDefault="009D71E8">
            <w:pPr>
              <w:pStyle w:val="TableHeader"/>
              <w:jc w:val="left"/>
              <w:rPr>
                <w:rFonts w:cs="Arial"/>
              </w:rPr>
            </w:pPr>
            <w:r w:rsidRPr="00B75329">
              <w:rPr>
                <w:rFonts w:cs="Arial"/>
              </w:rP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Pr="00B75329" w:rsidRDefault="009D71E8">
            <w:pPr>
              <w:pStyle w:val="TableHeader"/>
              <w:jc w:val="left"/>
              <w:rPr>
                <w:rFonts w:cs="Arial"/>
              </w:rPr>
            </w:pPr>
            <w:r w:rsidRPr="00B75329">
              <w:rPr>
                <w:rFonts w:cs="Arial"/>
              </w:rP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Pr="00B75329" w:rsidRDefault="009D71E8">
            <w:pPr>
              <w:pStyle w:val="TableHeader"/>
              <w:jc w:val="left"/>
              <w:rPr>
                <w:rFonts w:cs="Arial"/>
              </w:rPr>
            </w:pPr>
            <w:r w:rsidRPr="00B75329">
              <w:rPr>
                <w:rFonts w:cs="Arial"/>
              </w:rPr>
              <w:t>Challenge number(s) addressed</w:t>
            </w:r>
          </w:p>
        </w:tc>
      </w:tr>
      <w:tr w:rsidR="00E66558" w:rsidRPr="00B75329" w14:paraId="2A7D553B" w14:textId="77777777" w:rsidTr="6FFE213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24D7F3DF" w:rsidR="00E66558" w:rsidRPr="00B75329" w:rsidRDefault="1F373D26" w:rsidP="3F205C40">
            <w:pPr>
              <w:pStyle w:val="TableRow"/>
              <w:ind w:left="0"/>
              <w:rPr>
                <w:rFonts w:cs="Arial"/>
                <w:highlight w:val="magenta"/>
              </w:rPr>
            </w:pPr>
            <w:r w:rsidRPr="00B75329">
              <w:rPr>
                <w:rFonts w:cs="Arial"/>
              </w:rPr>
              <w:t>Students provided opportunities to p</w:t>
            </w:r>
            <w:r w:rsidR="6EA65073" w:rsidRPr="00B75329">
              <w:rPr>
                <w:rFonts w:cs="Arial"/>
              </w:rPr>
              <w:t>articipat</w:t>
            </w:r>
            <w:r w:rsidRPr="00B75329">
              <w:rPr>
                <w:rFonts w:cs="Arial"/>
              </w:rPr>
              <w:t>e</w:t>
            </w:r>
            <w:r w:rsidR="6EA65073" w:rsidRPr="00B75329">
              <w:rPr>
                <w:rFonts w:cs="Arial"/>
              </w:rPr>
              <w:t xml:space="preserve"> in </w:t>
            </w:r>
            <w:r w:rsidRPr="00B75329">
              <w:rPr>
                <w:rFonts w:cs="Arial"/>
              </w:rPr>
              <w:t>a</w:t>
            </w:r>
            <w:r w:rsidR="757EC8D7" w:rsidRPr="00B75329">
              <w:rPr>
                <w:rFonts w:cs="Arial"/>
              </w:rPr>
              <w:t>rts</w:t>
            </w:r>
            <w:r w:rsidR="323018CE" w:rsidRPr="00B75329">
              <w:rPr>
                <w:rFonts w:cs="Arial"/>
              </w:rPr>
              <w:t xml:space="preserve"> (drama, music, trip, dance</w:t>
            </w:r>
            <w:r w:rsidR="3C6AEF1D" w:rsidRPr="00B75329">
              <w:rPr>
                <w:rFonts w:cs="Arial"/>
              </w:rP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9" w14:textId="27D4727E" w:rsidR="00E66558" w:rsidRPr="00B75329" w:rsidRDefault="009B5768">
            <w:pPr>
              <w:pStyle w:val="TableRowCentered"/>
              <w:jc w:val="left"/>
              <w:rPr>
                <w:rFonts w:cs="Arial"/>
                <w:sz w:val="22"/>
              </w:rPr>
            </w:pPr>
            <w:hyperlink r:id="rId27" w:history="1">
              <w:r w:rsidR="00D029CD" w:rsidRPr="00B75329">
                <w:rPr>
                  <w:rStyle w:val="Hyperlink"/>
                  <w:rFonts w:cs="Arial"/>
                  <w:sz w:val="22"/>
                </w:rPr>
                <w:t>Arts Participation</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4C25AC67" w:rsidR="00E66558" w:rsidRPr="00B75329" w:rsidRDefault="56AB2F64" w:rsidP="3F205C40">
            <w:pPr>
              <w:pStyle w:val="TableRowCentered"/>
              <w:jc w:val="left"/>
              <w:rPr>
                <w:rFonts w:cs="Arial"/>
                <w:sz w:val="22"/>
                <w:szCs w:val="22"/>
              </w:rPr>
            </w:pPr>
            <w:r w:rsidRPr="00B75329">
              <w:rPr>
                <w:rFonts w:cs="Arial"/>
                <w:sz w:val="22"/>
                <w:szCs w:val="22"/>
              </w:rPr>
              <w:t xml:space="preserve">2,3 </w:t>
            </w:r>
          </w:p>
        </w:tc>
      </w:tr>
      <w:tr w:rsidR="00E66558" w:rsidRPr="00B75329" w14:paraId="2A7D553F" w14:textId="77777777" w:rsidTr="6FFE213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59DF2477" w:rsidR="00E66558" w:rsidRPr="00B75329" w:rsidRDefault="378FA9C7" w:rsidP="3F205C40">
            <w:pPr>
              <w:pStyle w:val="TableRow"/>
              <w:ind w:left="0"/>
              <w:rPr>
                <w:rFonts w:cs="Arial"/>
                <w:highlight w:val="magenta"/>
              </w:rPr>
            </w:pPr>
            <w:r w:rsidRPr="00B75329">
              <w:rPr>
                <w:rFonts w:cs="Arial"/>
              </w:rPr>
              <w:t>Regular Forest S</w:t>
            </w:r>
            <w:r w:rsidR="6ADBA07A" w:rsidRPr="00B75329">
              <w:rPr>
                <w:rFonts w:cs="Arial"/>
              </w:rPr>
              <w:t xml:space="preserve">chool </w:t>
            </w:r>
            <w:r w:rsidR="1F373D26" w:rsidRPr="00B75329">
              <w:rPr>
                <w:rFonts w:cs="Arial"/>
              </w:rPr>
              <w:t>sessions</w:t>
            </w:r>
            <w:r w:rsidR="0229361E" w:rsidRPr="00B75329">
              <w:rPr>
                <w:rFonts w:cs="Arial"/>
              </w:rPr>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D" w14:textId="593BA99B" w:rsidR="00E66558" w:rsidRPr="00B75329" w:rsidRDefault="009B5768">
            <w:pPr>
              <w:pStyle w:val="TableRowCentered"/>
              <w:jc w:val="left"/>
              <w:rPr>
                <w:rFonts w:cs="Arial"/>
                <w:sz w:val="22"/>
              </w:rPr>
            </w:pPr>
            <w:hyperlink r:id="rId28" w:history="1">
              <w:r w:rsidR="00AD1D51" w:rsidRPr="00B75329">
                <w:rPr>
                  <w:rStyle w:val="Hyperlink"/>
                  <w:rFonts w:cs="Arial"/>
                  <w:sz w:val="22"/>
                </w:rPr>
                <w:t>Outdoor Adventure Learning</w:t>
              </w:r>
            </w:hyperlink>
            <w:r w:rsidR="00AD1D51" w:rsidRPr="00B75329">
              <w:rPr>
                <w:rFonts w:cs="Arial"/>
                <w:sz w:val="22"/>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049FED6A" w:rsidR="00E66558" w:rsidRPr="00B75329" w:rsidRDefault="1A7CB29B" w:rsidP="3F205C40">
            <w:pPr>
              <w:pStyle w:val="TableRowCentered"/>
              <w:jc w:val="left"/>
              <w:rPr>
                <w:rFonts w:cs="Arial"/>
                <w:sz w:val="22"/>
                <w:szCs w:val="22"/>
              </w:rPr>
            </w:pPr>
            <w:r w:rsidRPr="00B75329">
              <w:rPr>
                <w:rFonts w:cs="Arial"/>
                <w:sz w:val="22"/>
                <w:szCs w:val="22"/>
              </w:rPr>
              <w:t xml:space="preserve">2,3 </w:t>
            </w:r>
          </w:p>
        </w:tc>
      </w:tr>
      <w:tr w:rsidR="000F13E0" w:rsidRPr="00B75329" w14:paraId="6159FB80" w14:textId="77777777" w:rsidTr="6FFE213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9CA26" w14:textId="41478623" w:rsidR="000F13E0" w:rsidRPr="00B75329" w:rsidRDefault="1F373D26" w:rsidP="3F205C40">
            <w:pPr>
              <w:pStyle w:val="TableRow"/>
              <w:ind w:left="0"/>
              <w:rPr>
                <w:rFonts w:cs="Arial"/>
              </w:rPr>
            </w:pPr>
            <w:r w:rsidRPr="00B75329">
              <w:rPr>
                <w:rFonts w:cs="Arial"/>
              </w:rPr>
              <w:t xml:space="preserve">Students engage in regular and specialist </w:t>
            </w:r>
            <w:r w:rsidR="57FD6A15" w:rsidRPr="00B75329">
              <w:rPr>
                <w:rFonts w:cs="Arial"/>
              </w:rPr>
              <w:t xml:space="preserve">Physical Activity </w:t>
            </w:r>
            <w:r w:rsidR="2958385E" w:rsidRPr="00B75329">
              <w:rPr>
                <w:rFonts w:cs="Arial"/>
              </w:rPr>
              <w:t>(see sports premium plan for additional information)</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CD01F" w14:textId="310C3678" w:rsidR="000F13E0" w:rsidRPr="00B75329" w:rsidRDefault="009B5768">
            <w:pPr>
              <w:pStyle w:val="TableRowCentered"/>
              <w:jc w:val="left"/>
              <w:rPr>
                <w:rFonts w:cs="Arial"/>
                <w:sz w:val="22"/>
              </w:rPr>
            </w:pPr>
            <w:hyperlink r:id="rId29" w:history="1">
              <w:r w:rsidR="000F13E0" w:rsidRPr="00B75329">
                <w:rPr>
                  <w:rStyle w:val="Hyperlink"/>
                  <w:rFonts w:cs="Arial"/>
                  <w:sz w:val="22"/>
                </w:rPr>
                <w:t>Physical Activity</w:t>
              </w:r>
            </w:hyperlink>
            <w:r w:rsidR="000F13E0" w:rsidRPr="00B75329">
              <w:rPr>
                <w:rFonts w:cs="Arial"/>
                <w:sz w:val="22"/>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91791" w14:textId="5FCA3834" w:rsidR="000F13E0" w:rsidRPr="00B75329" w:rsidRDefault="439FB332" w:rsidP="6FFE2133">
            <w:pPr>
              <w:pStyle w:val="TableRowCentered"/>
              <w:jc w:val="left"/>
              <w:rPr>
                <w:rFonts w:cs="Arial"/>
                <w:color w:val="000000" w:themeColor="text1"/>
                <w:szCs w:val="24"/>
              </w:rPr>
            </w:pPr>
            <w:r w:rsidRPr="00B75329">
              <w:rPr>
                <w:rFonts w:cs="Arial"/>
                <w:sz w:val="22"/>
                <w:szCs w:val="22"/>
              </w:rPr>
              <w:t>2,3</w:t>
            </w:r>
          </w:p>
        </w:tc>
      </w:tr>
      <w:tr w:rsidR="00870847" w:rsidRPr="00B75329" w14:paraId="16CD515B" w14:textId="77777777" w:rsidTr="6FFE213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ED7C95" w14:textId="3EE9E1A2" w:rsidR="00870847" w:rsidRPr="00B75329" w:rsidRDefault="1F373D26" w:rsidP="3F205C40">
            <w:pPr>
              <w:pStyle w:val="TableRow"/>
              <w:ind w:left="0"/>
              <w:rPr>
                <w:rFonts w:cs="Arial"/>
                <w:highlight w:val="magenta"/>
              </w:rPr>
            </w:pPr>
            <w:r w:rsidRPr="00B75329">
              <w:rPr>
                <w:rFonts w:cs="Arial"/>
              </w:rPr>
              <w:t>Promote and actively engage parents</w:t>
            </w:r>
            <w:r w:rsidR="415FA37B" w:rsidRPr="00B75329">
              <w:rPr>
                <w:rFonts w:cs="Arial"/>
              </w:rPr>
              <w:t xml:space="preserve"> </w:t>
            </w:r>
            <w:r w:rsidR="59B87C2B" w:rsidRPr="00B75329">
              <w:rPr>
                <w:rFonts w:cs="Arial"/>
              </w:rPr>
              <w:t>(school forum, parents forum, SEN parents forum, workshops, parent consultations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12FDB" w14:textId="2F702A7B" w:rsidR="00870847" w:rsidRPr="00B75329" w:rsidRDefault="009B5768">
            <w:pPr>
              <w:pStyle w:val="TableRowCentered"/>
              <w:jc w:val="left"/>
              <w:rPr>
                <w:rFonts w:cs="Arial"/>
                <w:sz w:val="22"/>
              </w:rPr>
            </w:pPr>
            <w:hyperlink r:id="rId30" w:history="1">
              <w:r w:rsidR="00870847" w:rsidRPr="00B75329">
                <w:rPr>
                  <w:rStyle w:val="Hyperlink"/>
                  <w:rFonts w:cs="Arial"/>
                  <w:sz w:val="22"/>
                </w:rPr>
                <w:t>Parental Engagement</w:t>
              </w:r>
            </w:hyperlink>
            <w:r w:rsidR="00870847" w:rsidRPr="00B75329">
              <w:rPr>
                <w:rFonts w:cs="Arial"/>
                <w:sz w:val="22"/>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25A23A" w14:textId="68714956" w:rsidR="00870847" w:rsidRPr="00B75329" w:rsidRDefault="1519BF52" w:rsidP="3F205C40">
            <w:pPr>
              <w:pStyle w:val="TableRowCentered"/>
              <w:jc w:val="left"/>
              <w:rPr>
                <w:rFonts w:cs="Arial"/>
                <w:sz w:val="22"/>
                <w:szCs w:val="22"/>
              </w:rPr>
            </w:pPr>
            <w:r w:rsidRPr="00B75329">
              <w:rPr>
                <w:rFonts w:cs="Arial"/>
                <w:sz w:val="22"/>
                <w:szCs w:val="22"/>
              </w:rPr>
              <w:t xml:space="preserve"> 4 </w:t>
            </w:r>
          </w:p>
        </w:tc>
      </w:tr>
      <w:tr w:rsidR="0050291A" w:rsidRPr="00B75329" w14:paraId="073BF042" w14:textId="77777777" w:rsidTr="6FFE213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0A5D5" w14:textId="39138F3C" w:rsidR="0050291A" w:rsidRPr="00B75329" w:rsidRDefault="3DB67312" w:rsidP="3F205C40">
            <w:pPr>
              <w:pStyle w:val="TableRow"/>
              <w:ind w:left="0"/>
              <w:rPr>
                <w:rFonts w:cs="Arial"/>
                <w:highlight w:val="magenta"/>
              </w:rPr>
            </w:pPr>
            <w:r w:rsidRPr="00B75329">
              <w:rPr>
                <w:rFonts w:cs="Arial"/>
              </w:rPr>
              <w:t xml:space="preserve">Engage with </w:t>
            </w:r>
            <w:r w:rsidR="3521D99D" w:rsidRPr="00B75329">
              <w:rPr>
                <w:rFonts w:cs="Arial"/>
              </w:rPr>
              <w:t xml:space="preserve">and promote </w:t>
            </w:r>
            <w:r w:rsidRPr="00B75329">
              <w:rPr>
                <w:rFonts w:cs="Arial"/>
              </w:rPr>
              <w:t>P</w:t>
            </w:r>
            <w:r w:rsidR="6EA65073" w:rsidRPr="00B75329">
              <w:rPr>
                <w:rFonts w:cs="Arial"/>
              </w:rPr>
              <w:t>ublic Health Campai</w:t>
            </w:r>
            <w:r w:rsidR="16D6F658" w:rsidRPr="00B75329">
              <w:rPr>
                <w:rFonts w:cs="Arial"/>
              </w:rPr>
              <w:t>g</w:t>
            </w:r>
            <w:r w:rsidR="6EA65073" w:rsidRPr="00B75329">
              <w:rPr>
                <w:rFonts w:cs="Arial"/>
              </w:rPr>
              <w:t>n</w:t>
            </w:r>
            <w:r w:rsidR="00E925CB" w:rsidRPr="00B75329">
              <w:rPr>
                <w:rFonts w:cs="Arial"/>
              </w:rPr>
              <w:t xml:space="preserve"> </w:t>
            </w:r>
            <w:r w:rsidR="523908BC" w:rsidRPr="00B75329">
              <w:rPr>
                <w:rFonts w:cs="Arial"/>
              </w:rPr>
              <w:t xml:space="preserve">(health and wellbeing topics)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46C85A" w14:textId="2A01DC34" w:rsidR="0050291A" w:rsidRPr="00B75329" w:rsidRDefault="009B5768" w:rsidP="3F205C40">
            <w:pPr>
              <w:pStyle w:val="TableRowCentered"/>
              <w:jc w:val="left"/>
              <w:rPr>
                <w:rFonts w:cs="Arial"/>
                <w:color w:val="0D0D0D" w:themeColor="text1" w:themeTint="F2"/>
                <w:szCs w:val="24"/>
              </w:rPr>
            </w:pPr>
            <w:hyperlink r:id="rId31">
              <w:r w:rsidR="5014FF2F" w:rsidRPr="00B75329">
                <w:rPr>
                  <w:rStyle w:val="Hyperlink"/>
                  <w:rFonts w:cs="Arial"/>
                </w:rPr>
                <w:t>Compass - Health and Wellbeing support for Warwickshire Families</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0F4CB" w14:textId="47BBDCEF" w:rsidR="0050291A" w:rsidRPr="00B75329" w:rsidRDefault="685DAD47" w:rsidP="3F205C40">
            <w:pPr>
              <w:pStyle w:val="TableRowCentered"/>
              <w:jc w:val="left"/>
              <w:rPr>
                <w:rFonts w:cs="Arial"/>
                <w:sz w:val="22"/>
                <w:szCs w:val="22"/>
              </w:rPr>
            </w:pPr>
            <w:r w:rsidRPr="00B75329">
              <w:rPr>
                <w:rFonts w:cs="Arial"/>
                <w:sz w:val="22"/>
                <w:szCs w:val="22"/>
              </w:rPr>
              <w:t>2,</w:t>
            </w:r>
            <w:r w:rsidR="0E926216" w:rsidRPr="00B75329">
              <w:rPr>
                <w:rFonts w:cs="Arial"/>
                <w:sz w:val="22"/>
                <w:szCs w:val="22"/>
              </w:rPr>
              <w:t xml:space="preserve">3,4 </w:t>
            </w:r>
          </w:p>
        </w:tc>
      </w:tr>
      <w:tr w:rsidR="0001247F" w:rsidRPr="00B75329" w14:paraId="59538642" w14:textId="77777777" w:rsidTr="6FFE213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7EC700" w14:textId="7319CAE7" w:rsidR="0001247F" w:rsidRPr="00B75329" w:rsidRDefault="50993151" w:rsidP="3F205C40">
            <w:pPr>
              <w:spacing w:before="60" w:after="60" w:line="240" w:lineRule="auto"/>
              <w:ind w:left="29" w:right="57"/>
              <w:rPr>
                <w:rFonts w:cs="Arial"/>
                <w:color w:val="auto"/>
                <w:lang w:val="en-US"/>
              </w:rPr>
            </w:pPr>
            <w:r w:rsidRPr="00B75329">
              <w:rPr>
                <w:rFonts w:cs="Arial"/>
                <w:color w:val="auto"/>
                <w:lang w:val="en-US"/>
              </w:rPr>
              <w:t xml:space="preserve">Retain a </w:t>
            </w:r>
            <w:r w:rsidR="1F373D26" w:rsidRPr="00B75329">
              <w:rPr>
                <w:rFonts w:cs="Arial"/>
                <w:color w:val="auto"/>
                <w:lang w:val="en-US"/>
              </w:rPr>
              <w:t>‘c</w:t>
            </w:r>
            <w:r w:rsidR="6EA65073" w:rsidRPr="00B75329">
              <w:rPr>
                <w:rFonts w:cs="Arial"/>
                <w:color w:val="auto"/>
                <w:lang w:val="en-US"/>
              </w:rPr>
              <w:t>ontingency fund</w:t>
            </w:r>
            <w:r w:rsidR="1F373D26" w:rsidRPr="00B75329">
              <w:rPr>
                <w:rFonts w:cs="Arial"/>
                <w:color w:val="auto"/>
                <w:lang w:val="en-US"/>
              </w:rPr>
              <w:t>’</w:t>
            </w:r>
            <w:r w:rsidR="6EA65073" w:rsidRPr="00B75329">
              <w:rPr>
                <w:rFonts w:cs="Arial"/>
                <w:color w:val="auto"/>
                <w:lang w:val="en-US"/>
              </w:rPr>
              <w:t xml:space="preserve"> for </w:t>
            </w:r>
            <w:r w:rsidR="61C35C53" w:rsidRPr="00B75329">
              <w:rPr>
                <w:rFonts w:cs="Arial"/>
                <w:color w:val="auto"/>
                <w:lang w:val="en-US"/>
              </w:rPr>
              <w:t>rapid response requests e.g. trips, wellies, appropriate clothes for trips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50020" w14:textId="3737CEE8" w:rsidR="0001247F" w:rsidRPr="00B75329" w:rsidRDefault="0001247F" w:rsidP="0001247F">
            <w:pPr>
              <w:pStyle w:val="TableRowCentered"/>
              <w:jc w:val="left"/>
              <w:rPr>
                <w:rFonts w:cs="Arial"/>
                <w:sz w:val="22"/>
              </w:rPr>
            </w:pPr>
            <w:r w:rsidRPr="00B75329">
              <w:rPr>
                <w:rFonts w:cs="Arial"/>
                <w:color w:val="auto"/>
                <w:szCs w:val="22"/>
              </w:rPr>
              <w:t>Based on our experiences and those of similar schools to ours, we have identified a need to set a small amount of funding aside to respond quickly to needs that have not yet been identified.</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29D26" w14:textId="73F17327" w:rsidR="0001247F" w:rsidRPr="00B75329" w:rsidRDefault="6829F2B7" w:rsidP="3F205C40">
            <w:pPr>
              <w:pStyle w:val="TableRowCentered"/>
              <w:jc w:val="left"/>
              <w:rPr>
                <w:rFonts w:cs="Arial"/>
                <w:sz w:val="22"/>
                <w:szCs w:val="22"/>
              </w:rPr>
            </w:pPr>
            <w:r w:rsidRPr="00B75329">
              <w:rPr>
                <w:rFonts w:cs="Arial"/>
                <w:sz w:val="22"/>
                <w:szCs w:val="22"/>
              </w:rPr>
              <w:t>1,2,3,4</w:t>
            </w:r>
          </w:p>
        </w:tc>
      </w:tr>
      <w:tr w:rsidR="00E653A8" w:rsidRPr="00B75329" w14:paraId="6F2A1DC8" w14:textId="77777777" w:rsidTr="6FFE2133">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145D02" w14:textId="7E9F889D" w:rsidR="00E653A8" w:rsidRPr="00B75329" w:rsidRDefault="00E653A8" w:rsidP="3F205C40">
            <w:pPr>
              <w:spacing w:before="60" w:after="60" w:line="240" w:lineRule="auto"/>
              <w:ind w:left="29" w:right="57"/>
              <w:rPr>
                <w:rFonts w:cs="Arial"/>
                <w:color w:val="auto"/>
                <w:lang w:val="en-US"/>
              </w:rPr>
            </w:pPr>
            <w:r w:rsidRPr="00B75329">
              <w:rPr>
                <w:rFonts w:cs="Arial"/>
                <w:color w:val="auto"/>
                <w:lang w:val="en-US"/>
              </w:rPr>
              <w:t>‘Nurture Group’ trips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40ED77" w14:textId="23D414BA" w:rsidR="00E653A8" w:rsidRPr="00B75329" w:rsidRDefault="009B5768" w:rsidP="0001247F">
            <w:pPr>
              <w:pStyle w:val="TableRowCentered"/>
              <w:jc w:val="left"/>
              <w:rPr>
                <w:rFonts w:cs="Arial"/>
                <w:color w:val="auto"/>
                <w:szCs w:val="22"/>
              </w:rPr>
            </w:pPr>
            <w:hyperlink r:id="rId32" w:history="1">
              <w:r w:rsidR="00E653A8" w:rsidRPr="00B75329">
                <w:rPr>
                  <w:rStyle w:val="Hyperlink"/>
                  <w:rFonts w:cs="Arial"/>
                  <w:szCs w:val="22"/>
                </w:rPr>
                <w:t>Nurture Groups</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E2E2F8" w14:textId="64740B98" w:rsidR="00E653A8" w:rsidRPr="00B75329" w:rsidRDefault="00E653A8" w:rsidP="3F205C40">
            <w:pPr>
              <w:pStyle w:val="TableRowCentered"/>
              <w:jc w:val="left"/>
              <w:rPr>
                <w:rFonts w:cs="Arial"/>
                <w:sz w:val="22"/>
                <w:szCs w:val="22"/>
              </w:rPr>
            </w:pPr>
            <w:r w:rsidRPr="00B75329">
              <w:rPr>
                <w:rFonts w:cs="Arial"/>
                <w:sz w:val="22"/>
                <w:szCs w:val="22"/>
              </w:rPr>
              <w:t>2,3</w:t>
            </w:r>
          </w:p>
        </w:tc>
      </w:tr>
    </w:tbl>
    <w:p w14:paraId="2A7D5540" w14:textId="77777777" w:rsidR="00E66558" w:rsidRPr="00B75329" w:rsidRDefault="00E66558">
      <w:pPr>
        <w:spacing w:before="240" w:after="0"/>
        <w:rPr>
          <w:rFonts w:cs="Arial"/>
          <w:b/>
          <w:bCs/>
          <w:color w:val="104F75"/>
          <w:sz w:val="28"/>
          <w:szCs w:val="28"/>
        </w:rPr>
      </w:pPr>
    </w:p>
    <w:p w14:paraId="38CDD5B8" w14:textId="5E169C71" w:rsidR="00E66558" w:rsidRPr="00B75329" w:rsidRDefault="009D71E8" w:rsidP="3F205C40">
      <w:pPr>
        <w:pStyle w:val="TableRow"/>
        <w:rPr>
          <w:rFonts w:cs="Arial"/>
          <w:highlight w:val="yellow"/>
        </w:rPr>
      </w:pPr>
      <w:r w:rsidRPr="00B75329">
        <w:rPr>
          <w:rFonts w:cs="Arial"/>
          <w:b/>
          <w:bCs/>
          <w:color w:val="104F75"/>
          <w:sz w:val="28"/>
          <w:szCs w:val="28"/>
        </w:rPr>
        <w:t xml:space="preserve">Total budgeted cost: </w:t>
      </w:r>
    </w:p>
    <w:p w14:paraId="03C5EFE1" w14:textId="6AD62088" w:rsidR="00E66558" w:rsidRPr="00B75329" w:rsidRDefault="00E66558" w:rsidP="3F205C40">
      <w:pPr>
        <w:rPr>
          <w:rFonts w:cs="Arial"/>
          <w:b/>
          <w:bCs/>
          <w:color w:val="0D0D0D" w:themeColor="text1" w:themeTint="F2"/>
        </w:rPr>
      </w:pPr>
    </w:p>
    <w:p w14:paraId="6C9B2CE3" w14:textId="16FF3CD8" w:rsidR="6FFE2133" w:rsidRPr="00B75329" w:rsidRDefault="6FFE2133" w:rsidP="6FFE2133">
      <w:pPr>
        <w:pStyle w:val="Heading2"/>
        <w:rPr>
          <w:rFonts w:cs="Arial"/>
          <w:highlight w:val="yellow"/>
        </w:rPr>
      </w:pPr>
    </w:p>
    <w:p w14:paraId="5C2418DB" w14:textId="6637C15C" w:rsidR="3CE039BE" w:rsidRPr="00B75329" w:rsidRDefault="009D71E8" w:rsidP="1360E18D">
      <w:pPr>
        <w:pStyle w:val="Heading2"/>
        <w:rPr>
          <w:rFonts w:cs="Arial"/>
        </w:rPr>
      </w:pPr>
      <w:r w:rsidRPr="00B75329">
        <w:rPr>
          <w:rFonts w:cs="Arial"/>
        </w:rPr>
        <w:t>Pupil premium strategy outcomes</w:t>
      </w:r>
    </w:p>
    <w:tbl>
      <w:tblPr>
        <w:tblW w:w="9493" w:type="dxa"/>
        <w:tblCellMar>
          <w:left w:w="10" w:type="dxa"/>
          <w:right w:w="10" w:type="dxa"/>
        </w:tblCellMar>
        <w:tblLook w:val="04A0" w:firstRow="1" w:lastRow="0" w:firstColumn="1" w:lastColumn="0" w:noHBand="0" w:noVBand="1"/>
      </w:tblPr>
      <w:tblGrid>
        <w:gridCol w:w="9493"/>
      </w:tblGrid>
      <w:tr w:rsidR="00E66558" w:rsidRPr="00B75329" w14:paraId="2A7D5547" w14:textId="77777777" w:rsidTr="1360E18D">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C77DA" w14:textId="77777777" w:rsidR="002E5FB8" w:rsidRPr="00B75329" w:rsidRDefault="002E5FB8" w:rsidP="00895A59">
            <w:pPr>
              <w:rPr>
                <w:rFonts w:eastAsia="Arial" w:cs="Arial"/>
                <w:color w:val="000000" w:themeColor="text1"/>
                <w:sz w:val="22"/>
                <w:szCs w:val="22"/>
              </w:rPr>
            </w:pPr>
          </w:p>
          <w:p w14:paraId="2CEBAD3E" w14:textId="247C7305" w:rsidR="00A25895" w:rsidRPr="00B75329" w:rsidRDefault="00895A59" w:rsidP="00D91673">
            <w:pPr>
              <w:rPr>
                <w:rFonts w:eastAsia="Arial" w:cs="Arial"/>
                <w:color w:val="000000" w:themeColor="text1"/>
                <w:sz w:val="22"/>
                <w:szCs w:val="22"/>
              </w:rPr>
            </w:pPr>
            <w:r w:rsidRPr="00B75329">
              <w:rPr>
                <w:rFonts w:eastAsia="Arial" w:cs="Arial"/>
                <w:color w:val="000000" w:themeColor="text1"/>
                <w:sz w:val="22"/>
                <w:szCs w:val="22"/>
              </w:rPr>
              <w:t xml:space="preserve">The end of year outcomes </w:t>
            </w:r>
            <w:r w:rsidR="00A25895" w:rsidRPr="00B75329">
              <w:rPr>
                <w:rFonts w:eastAsia="Arial" w:cs="Arial"/>
                <w:color w:val="000000" w:themeColor="text1"/>
                <w:sz w:val="22"/>
                <w:szCs w:val="22"/>
              </w:rPr>
              <w:t>are as follows:</w:t>
            </w:r>
          </w:p>
          <w:tbl>
            <w:tblPr>
              <w:tblStyle w:val="TableGrid"/>
              <w:tblW w:w="0" w:type="auto"/>
              <w:tblLook w:val="04A0" w:firstRow="1" w:lastRow="0" w:firstColumn="1" w:lastColumn="0" w:noHBand="0" w:noVBand="1"/>
            </w:tblPr>
            <w:tblGrid>
              <w:gridCol w:w="2254"/>
              <w:gridCol w:w="2254"/>
              <w:gridCol w:w="2254"/>
              <w:gridCol w:w="2254"/>
            </w:tblGrid>
            <w:tr w:rsidR="00A25895" w:rsidRPr="00B75329" w14:paraId="5E524060" w14:textId="77777777" w:rsidTr="00A269DE">
              <w:tc>
                <w:tcPr>
                  <w:tcW w:w="2254" w:type="dxa"/>
                </w:tcPr>
                <w:p w14:paraId="6861EAA1"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2021/2022</w:t>
                  </w:r>
                </w:p>
              </w:tc>
              <w:tc>
                <w:tcPr>
                  <w:tcW w:w="2254" w:type="dxa"/>
                </w:tcPr>
                <w:p w14:paraId="0F730ACB"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Reading E1+</w:t>
                  </w:r>
                </w:p>
              </w:tc>
              <w:tc>
                <w:tcPr>
                  <w:tcW w:w="2254" w:type="dxa"/>
                </w:tcPr>
                <w:p w14:paraId="4B71BB3A"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Writing E1+</w:t>
                  </w:r>
                </w:p>
              </w:tc>
              <w:tc>
                <w:tcPr>
                  <w:tcW w:w="2254" w:type="dxa"/>
                </w:tcPr>
                <w:p w14:paraId="652883B9"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Maths E1+</w:t>
                  </w:r>
                </w:p>
              </w:tc>
            </w:tr>
            <w:tr w:rsidR="00A25895" w:rsidRPr="00B75329" w14:paraId="6D7F944E" w14:textId="77777777" w:rsidTr="00A25895">
              <w:tc>
                <w:tcPr>
                  <w:tcW w:w="2254" w:type="dxa"/>
                  <w:shd w:val="clear" w:color="auto" w:fill="BDD6EE"/>
                </w:tcPr>
                <w:p w14:paraId="147C797F"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Pupil Premium</w:t>
                  </w:r>
                </w:p>
              </w:tc>
              <w:tc>
                <w:tcPr>
                  <w:tcW w:w="2254" w:type="dxa"/>
                  <w:shd w:val="clear" w:color="auto" w:fill="BDD6EE"/>
                </w:tcPr>
                <w:p w14:paraId="064DAFB8"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42%</w:t>
                  </w:r>
                </w:p>
              </w:tc>
              <w:tc>
                <w:tcPr>
                  <w:tcW w:w="2254" w:type="dxa"/>
                  <w:shd w:val="clear" w:color="auto" w:fill="BDD6EE"/>
                </w:tcPr>
                <w:p w14:paraId="6D5ACA42"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33%</w:t>
                  </w:r>
                </w:p>
              </w:tc>
              <w:tc>
                <w:tcPr>
                  <w:tcW w:w="2254" w:type="dxa"/>
                  <w:shd w:val="clear" w:color="auto" w:fill="BDD6EE"/>
                </w:tcPr>
                <w:p w14:paraId="4F0E2A74"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47%</w:t>
                  </w:r>
                </w:p>
              </w:tc>
            </w:tr>
            <w:tr w:rsidR="00A25895" w:rsidRPr="00B75329" w14:paraId="7F8BCC7E" w14:textId="77777777" w:rsidTr="00A25895">
              <w:tc>
                <w:tcPr>
                  <w:tcW w:w="2254" w:type="dxa"/>
                  <w:shd w:val="clear" w:color="auto" w:fill="C5E0B3"/>
                </w:tcPr>
                <w:p w14:paraId="52697151"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Non Pupil Premium</w:t>
                  </w:r>
                </w:p>
              </w:tc>
              <w:tc>
                <w:tcPr>
                  <w:tcW w:w="2254" w:type="dxa"/>
                  <w:shd w:val="clear" w:color="auto" w:fill="C5E0B3"/>
                </w:tcPr>
                <w:p w14:paraId="322D095E"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73%</w:t>
                  </w:r>
                </w:p>
              </w:tc>
              <w:tc>
                <w:tcPr>
                  <w:tcW w:w="2254" w:type="dxa"/>
                  <w:shd w:val="clear" w:color="auto" w:fill="C5E0B3"/>
                </w:tcPr>
                <w:p w14:paraId="04CD25EE"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63%</w:t>
                  </w:r>
                </w:p>
              </w:tc>
              <w:tc>
                <w:tcPr>
                  <w:tcW w:w="2254" w:type="dxa"/>
                  <w:shd w:val="clear" w:color="auto" w:fill="C5E0B3"/>
                </w:tcPr>
                <w:p w14:paraId="4D34D993"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75%</w:t>
                  </w:r>
                </w:p>
              </w:tc>
            </w:tr>
          </w:tbl>
          <w:p w14:paraId="3130F3C9" w14:textId="77777777" w:rsidR="00A25895" w:rsidRPr="00B75329" w:rsidRDefault="00A25895" w:rsidP="00A25895">
            <w:pPr>
              <w:shd w:val="clear" w:color="auto" w:fill="FFFFFF"/>
              <w:suppressAutoHyphens w:val="0"/>
              <w:autoSpaceDN/>
              <w:spacing w:after="0" w:line="240" w:lineRule="auto"/>
              <w:textAlignment w:val="baseline"/>
              <w:rPr>
                <w:rFonts w:cs="Arial"/>
                <w:color w:val="000000"/>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A25895" w:rsidRPr="00B75329" w14:paraId="0C76D96B" w14:textId="77777777" w:rsidTr="00A269DE">
              <w:tc>
                <w:tcPr>
                  <w:tcW w:w="2254" w:type="dxa"/>
                </w:tcPr>
                <w:p w14:paraId="3E054328"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2022/2023</w:t>
                  </w:r>
                </w:p>
              </w:tc>
              <w:tc>
                <w:tcPr>
                  <w:tcW w:w="2254" w:type="dxa"/>
                </w:tcPr>
                <w:p w14:paraId="6AEE26E7"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Reading E1+</w:t>
                  </w:r>
                </w:p>
              </w:tc>
              <w:tc>
                <w:tcPr>
                  <w:tcW w:w="2254" w:type="dxa"/>
                </w:tcPr>
                <w:p w14:paraId="4D574FCC"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Writing E1+</w:t>
                  </w:r>
                </w:p>
              </w:tc>
              <w:tc>
                <w:tcPr>
                  <w:tcW w:w="2254" w:type="dxa"/>
                </w:tcPr>
                <w:p w14:paraId="299D23E5"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Maths E1+</w:t>
                  </w:r>
                </w:p>
              </w:tc>
            </w:tr>
            <w:tr w:rsidR="00A25895" w:rsidRPr="00B75329" w14:paraId="58E9082B" w14:textId="77777777" w:rsidTr="00A25895">
              <w:tc>
                <w:tcPr>
                  <w:tcW w:w="2254" w:type="dxa"/>
                  <w:shd w:val="clear" w:color="auto" w:fill="BDD6EE"/>
                </w:tcPr>
                <w:p w14:paraId="467F8D73"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Pupil Premium</w:t>
                  </w:r>
                </w:p>
              </w:tc>
              <w:tc>
                <w:tcPr>
                  <w:tcW w:w="2254" w:type="dxa"/>
                  <w:shd w:val="clear" w:color="auto" w:fill="BDD6EE"/>
                </w:tcPr>
                <w:p w14:paraId="26625BBB"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45%</w:t>
                  </w:r>
                </w:p>
              </w:tc>
              <w:tc>
                <w:tcPr>
                  <w:tcW w:w="2254" w:type="dxa"/>
                  <w:shd w:val="clear" w:color="auto" w:fill="BDD6EE"/>
                </w:tcPr>
                <w:p w14:paraId="2665DE71"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33%</w:t>
                  </w:r>
                </w:p>
              </w:tc>
              <w:tc>
                <w:tcPr>
                  <w:tcW w:w="2254" w:type="dxa"/>
                  <w:shd w:val="clear" w:color="auto" w:fill="BDD6EE"/>
                </w:tcPr>
                <w:p w14:paraId="2D134FCC"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52%</w:t>
                  </w:r>
                </w:p>
              </w:tc>
            </w:tr>
            <w:tr w:rsidR="00A25895" w:rsidRPr="00B75329" w14:paraId="10E9064E" w14:textId="77777777" w:rsidTr="00A25895">
              <w:tc>
                <w:tcPr>
                  <w:tcW w:w="2254" w:type="dxa"/>
                  <w:shd w:val="clear" w:color="auto" w:fill="C5E0B3"/>
                </w:tcPr>
                <w:p w14:paraId="7EEB4943"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Non Pupil Premium</w:t>
                  </w:r>
                </w:p>
              </w:tc>
              <w:tc>
                <w:tcPr>
                  <w:tcW w:w="2254" w:type="dxa"/>
                  <w:shd w:val="clear" w:color="auto" w:fill="C5E0B3"/>
                </w:tcPr>
                <w:p w14:paraId="236681E8"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87%</w:t>
                  </w:r>
                </w:p>
              </w:tc>
              <w:tc>
                <w:tcPr>
                  <w:tcW w:w="2254" w:type="dxa"/>
                  <w:shd w:val="clear" w:color="auto" w:fill="C5E0B3"/>
                </w:tcPr>
                <w:p w14:paraId="2E9270C8"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69%</w:t>
                  </w:r>
                </w:p>
              </w:tc>
              <w:tc>
                <w:tcPr>
                  <w:tcW w:w="2254" w:type="dxa"/>
                  <w:shd w:val="clear" w:color="auto" w:fill="C5E0B3"/>
                </w:tcPr>
                <w:p w14:paraId="42FD77C8" w14:textId="77777777" w:rsidR="00A25895" w:rsidRPr="00B75329" w:rsidRDefault="00A25895" w:rsidP="00A25895">
                  <w:pPr>
                    <w:suppressAutoHyphens w:val="0"/>
                    <w:autoSpaceDN/>
                    <w:textAlignment w:val="baseline"/>
                    <w:rPr>
                      <w:rFonts w:cs="Arial"/>
                      <w:color w:val="000000"/>
                      <w:sz w:val="22"/>
                      <w:szCs w:val="22"/>
                    </w:rPr>
                  </w:pPr>
                  <w:r w:rsidRPr="00B75329">
                    <w:rPr>
                      <w:rFonts w:cs="Arial"/>
                      <w:color w:val="000000"/>
                      <w:sz w:val="22"/>
                      <w:szCs w:val="22"/>
                    </w:rPr>
                    <w:t>85%</w:t>
                  </w:r>
                </w:p>
              </w:tc>
            </w:tr>
          </w:tbl>
          <w:p w14:paraId="615F716F" w14:textId="4FA7D65E" w:rsidR="00895A59" w:rsidRPr="00B75329" w:rsidRDefault="00895A59" w:rsidP="1360E18D">
            <w:pPr>
              <w:rPr>
                <w:rFonts w:eastAsia="Arial" w:cs="Arial"/>
                <w:color w:val="000000" w:themeColor="text1"/>
                <w:sz w:val="22"/>
                <w:szCs w:val="22"/>
              </w:rPr>
            </w:pPr>
          </w:p>
          <w:p w14:paraId="2A7D5546" w14:textId="2E4A474C" w:rsidR="000576CE" w:rsidRPr="00B75329" w:rsidRDefault="000576CE" w:rsidP="00A25895">
            <w:pPr>
              <w:rPr>
                <w:rFonts w:eastAsia="Arial" w:cs="Arial"/>
                <w:color w:val="0D0D0D" w:themeColor="text1" w:themeTint="F2"/>
              </w:rPr>
            </w:pPr>
          </w:p>
        </w:tc>
      </w:tr>
    </w:tbl>
    <w:p w14:paraId="2A7D5548" w14:textId="77777777" w:rsidR="00E66558" w:rsidRPr="00B75329" w:rsidRDefault="009D71E8" w:rsidP="6FFE2133">
      <w:pPr>
        <w:pStyle w:val="Heading2"/>
        <w:spacing w:before="600"/>
        <w:rPr>
          <w:rFonts w:cs="Arial"/>
        </w:rPr>
      </w:pPr>
      <w:r w:rsidRPr="00B75329">
        <w:rPr>
          <w:rFonts w:cs="Arial"/>
        </w:rP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B75329" w14:paraId="2A7D554C" w14:textId="77777777" w:rsidTr="6FFE213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Pr="00B75329" w:rsidRDefault="009D71E8" w:rsidP="6FFE2133">
            <w:pPr>
              <w:pStyle w:val="TableHeader"/>
              <w:jc w:val="left"/>
              <w:rPr>
                <w:rFonts w:cs="Arial"/>
              </w:rPr>
            </w:pPr>
            <w:r w:rsidRPr="00B75329">
              <w:rPr>
                <w:rFonts w:cs="Arial"/>
              </w:rP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Pr="00B75329" w:rsidRDefault="009D71E8">
            <w:pPr>
              <w:pStyle w:val="TableHeader"/>
              <w:jc w:val="left"/>
              <w:rPr>
                <w:rFonts w:cs="Arial"/>
              </w:rPr>
            </w:pPr>
            <w:r w:rsidRPr="00B75329">
              <w:rPr>
                <w:rFonts w:cs="Arial"/>
              </w:rPr>
              <w:t>Provider</w:t>
            </w:r>
          </w:p>
        </w:tc>
      </w:tr>
      <w:tr w:rsidR="00E66558" w:rsidRPr="00B75329" w14:paraId="2A7D554F" w14:textId="77777777" w:rsidTr="6FFE213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501BEA09" w:rsidR="00E66558" w:rsidRPr="00B75329" w:rsidRDefault="000576CE">
            <w:pPr>
              <w:pStyle w:val="TableRow"/>
              <w:rPr>
                <w:rFonts w:cs="Arial"/>
              </w:rPr>
            </w:pPr>
            <w:r w:rsidRPr="00B75329">
              <w:rPr>
                <w:rFonts w:cs="Arial"/>
              </w:rPr>
              <w:t>PiXL</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10526AF6" w:rsidR="00E66558" w:rsidRPr="00B75329" w:rsidRDefault="000576CE">
            <w:pPr>
              <w:pStyle w:val="TableRowCentered"/>
              <w:jc w:val="left"/>
              <w:rPr>
                <w:rFonts w:cs="Arial"/>
              </w:rPr>
            </w:pPr>
            <w:r w:rsidRPr="00B75329">
              <w:rPr>
                <w:rFonts w:cs="Arial"/>
              </w:rPr>
              <w:t>PiXL</w:t>
            </w:r>
          </w:p>
        </w:tc>
      </w:tr>
      <w:tr w:rsidR="00E66558" w:rsidRPr="00B75329" w14:paraId="2A7D5552" w14:textId="77777777" w:rsidTr="6FFE213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1AC080AD" w:rsidR="00E66558" w:rsidRPr="00B75329" w:rsidRDefault="00B75DB7">
            <w:pPr>
              <w:pStyle w:val="TableRow"/>
              <w:rPr>
                <w:rFonts w:cs="Arial"/>
              </w:rPr>
            </w:pPr>
            <w:r w:rsidRPr="00B75329">
              <w:rPr>
                <w:rFonts w:cs="Arial"/>
              </w:rPr>
              <w:t>Little Wandle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781BDC58" w:rsidR="00E66558" w:rsidRPr="00B75329" w:rsidRDefault="00B75DB7" w:rsidP="6FFE2133">
            <w:pPr>
              <w:pStyle w:val="TableRow"/>
              <w:rPr>
                <w:rFonts w:cs="Arial"/>
              </w:rPr>
            </w:pPr>
            <w:r w:rsidRPr="00B75329">
              <w:rPr>
                <w:rFonts w:cs="Arial"/>
              </w:rPr>
              <w:t>Little Wandle</w:t>
            </w:r>
          </w:p>
        </w:tc>
      </w:tr>
    </w:tbl>
    <w:p w14:paraId="2A7D555F" w14:textId="77777777" w:rsidR="00E66558" w:rsidRPr="00B75329" w:rsidRDefault="00E66558">
      <w:pPr>
        <w:spacing w:after="0" w:line="240" w:lineRule="auto"/>
        <w:rPr>
          <w:rFonts w:cs="Arial"/>
        </w:rPr>
      </w:pPr>
    </w:p>
    <w:p w14:paraId="2A7D5560" w14:textId="77777777" w:rsidR="00E66558" w:rsidRPr="00B75329" w:rsidRDefault="009D71E8">
      <w:pPr>
        <w:pStyle w:val="Heading1"/>
        <w:rPr>
          <w:rFonts w:cs="Arial"/>
        </w:rPr>
      </w:pPr>
      <w:r w:rsidRPr="00B75329">
        <w:rPr>
          <w:rFonts w:cs="Arial"/>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B75329" w14:paraId="2A7D5563" w14:textId="77777777" w:rsidTr="6FFE2133">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5F8B7" w14:textId="551E3EFB" w:rsidR="00E66558" w:rsidRPr="00B75329" w:rsidRDefault="7B585CE0" w:rsidP="6FFE2133">
            <w:pPr>
              <w:spacing w:before="120" w:after="120"/>
              <w:rPr>
                <w:rFonts w:cs="Arial"/>
                <w:color w:val="0D0D0D" w:themeColor="text1" w:themeTint="F2"/>
              </w:rPr>
            </w:pPr>
            <w:r w:rsidRPr="00B75329">
              <w:rPr>
                <w:rFonts w:cs="Arial"/>
                <w:color w:val="0D0D0D" w:themeColor="text1" w:themeTint="F2"/>
              </w:rPr>
              <w:t xml:space="preserve">In addition to the strategies outline in this report, there are other activities that we implement to support disadvantaged pupils. </w:t>
            </w:r>
          </w:p>
          <w:p w14:paraId="31359EA8" w14:textId="741AA86C" w:rsidR="00E66558" w:rsidRPr="00B75329" w:rsidRDefault="7B585CE0" w:rsidP="6FFE2133">
            <w:pPr>
              <w:pStyle w:val="TableRow"/>
              <w:spacing w:before="120" w:after="120"/>
              <w:ind w:left="0"/>
              <w:rPr>
                <w:rFonts w:cs="Arial"/>
                <w:color w:val="auto"/>
              </w:rPr>
            </w:pPr>
            <w:r w:rsidRPr="00B75329">
              <w:rPr>
                <w:rFonts w:cs="Arial"/>
                <w:color w:val="0D0D0D" w:themeColor="text1" w:themeTint="F2"/>
              </w:rPr>
              <w:t xml:space="preserve">Children who have been identified by staff for counselling are given the opportunity to attend sessions with a counsellor. This </w:t>
            </w:r>
            <w:r w:rsidR="20F553BE" w:rsidRPr="00B75329">
              <w:rPr>
                <w:rFonts w:cs="Arial"/>
                <w:color w:val="0D0D0D" w:themeColor="text1" w:themeTint="F2"/>
              </w:rPr>
              <w:t xml:space="preserve">is in line with our intended outcome to </w:t>
            </w:r>
            <w:r w:rsidR="20F553BE" w:rsidRPr="00B75329">
              <w:rPr>
                <w:rFonts w:cs="Arial"/>
                <w:color w:val="auto"/>
              </w:rPr>
              <w:t>achieve and sustain improved mental health and wellbeing for pupil premium children.</w:t>
            </w:r>
          </w:p>
          <w:p w14:paraId="5B9D808C" w14:textId="2BDDABCE" w:rsidR="00E66558" w:rsidRPr="00B75329" w:rsidRDefault="20F553BE" w:rsidP="6FFE2133">
            <w:pPr>
              <w:pStyle w:val="TableRow"/>
              <w:spacing w:before="120" w:after="120"/>
              <w:ind w:left="0"/>
              <w:rPr>
                <w:rFonts w:cs="Arial"/>
                <w:color w:val="auto"/>
              </w:rPr>
            </w:pPr>
            <w:r w:rsidRPr="00B75329">
              <w:rPr>
                <w:rFonts w:cs="Arial"/>
                <w:color w:val="auto"/>
              </w:rPr>
              <w:t>In addition to counselling, we also provide welfare support where needed through the utilisation of Supermarket voucher schemes or support from local businesses.</w:t>
            </w:r>
          </w:p>
          <w:p w14:paraId="2A7D5562" w14:textId="16C3075A" w:rsidR="00E66558" w:rsidRPr="00B75329" w:rsidRDefault="119593EB" w:rsidP="6FFE2133">
            <w:pPr>
              <w:pStyle w:val="TableRow"/>
              <w:spacing w:before="120" w:after="120"/>
              <w:ind w:left="0"/>
              <w:rPr>
                <w:rFonts w:cs="Arial"/>
                <w:highlight w:val="magenta"/>
              </w:rPr>
            </w:pPr>
            <w:r w:rsidRPr="00B75329">
              <w:rPr>
                <w:rFonts w:cs="Arial"/>
                <w:color w:val="auto"/>
              </w:rPr>
              <w:t xml:space="preserve">As well as welfare support, families are offered financial support for school trips to </w:t>
            </w:r>
            <w:r w:rsidR="063863B3" w:rsidRPr="00B75329">
              <w:rPr>
                <w:rFonts w:cs="Arial"/>
                <w:color w:val="auto"/>
              </w:rPr>
              <w:t>ensure their children are provided with equal opportunit</w:t>
            </w:r>
            <w:r w:rsidR="66D10F58" w:rsidRPr="00B75329">
              <w:rPr>
                <w:rFonts w:cs="Arial"/>
                <w:color w:val="auto"/>
              </w:rPr>
              <w:t xml:space="preserve">ies. This is in line with our intended outcome to provide </w:t>
            </w:r>
            <w:r w:rsidR="00B75329">
              <w:rPr>
                <w:rFonts w:cs="Arial"/>
              </w:rPr>
              <w:t>i</w:t>
            </w:r>
            <w:r w:rsidR="66D10F58" w:rsidRPr="00B75329">
              <w:rPr>
                <w:rFonts w:cs="Arial"/>
              </w:rPr>
              <w:t xml:space="preserve">ncreased opportunities for enrichment, activities and basic life skills for </w:t>
            </w:r>
            <w:r w:rsidR="00B75329">
              <w:rPr>
                <w:rFonts w:cs="Arial"/>
              </w:rPr>
              <w:t xml:space="preserve">all children. </w:t>
            </w:r>
          </w:p>
        </w:tc>
      </w:tr>
      <w:bookmarkEnd w:id="14"/>
      <w:bookmarkEnd w:id="15"/>
      <w:bookmarkEnd w:id="17"/>
    </w:tbl>
    <w:p w14:paraId="2A7D5564" w14:textId="77777777" w:rsidR="00E66558" w:rsidRPr="00B75329" w:rsidRDefault="00E66558">
      <w:pPr>
        <w:rPr>
          <w:rFonts w:cs="Arial"/>
        </w:rPr>
      </w:pPr>
    </w:p>
    <w:sectPr w:rsidR="00E66558" w:rsidRPr="00B75329">
      <w:headerReference w:type="default" r:id="rId33"/>
      <w:footerReference w:type="default" r:id="rId3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5BA1A" w14:textId="77777777" w:rsidR="00F40B52" w:rsidRDefault="00F40B52">
      <w:pPr>
        <w:spacing w:after="0" w:line="240" w:lineRule="auto"/>
      </w:pPr>
      <w:r>
        <w:separator/>
      </w:r>
    </w:p>
  </w:endnote>
  <w:endnote w:type="continuationSeparator" w:id="0">
    <w:p w14:paraId="3147A256" w14:textId="77777777" w:rsidR="00F40B52" w:rsidRDefault="00F4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54047E1" w:rsidR="00812A5B" w:rsidRDefault="009D71E8">
    <w:pPr>
      <w:pStyle w:val="Footer"/>
      <w:ind w:firstLine="4513"/>
    </w:pPr>
    <w:r>
      <w:fldChar w:fldCharType="begin"/>
    </w:r>
    <w:r>
      <w:instrText xml:space="preserve"> PAGE </w:instrText>
    </w:r>
    <w:r>
      <w:fldChar w:fldCharType="separate"/>
    </w:r>
    <w:r w:rsidR="009B5768">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A0CBB" w14:textId="77777777" w:rsidR="00F40B52" w:rsidRDefault="00F40B52">
      <w:pPr>
        <w:spacing w:after="0" w:line="240" w:lineRule="auto"/>
      </w:pPr>
      <w:r>
        <w:separator/>
      </w:r>
    </w:p>
  </w:footnote>
  <w:footnote w:type="continuationSeparator" w:id="0">
    <w:p w14:paraId="15CDC131" w14:textId="77777777" w:rsidR="00F40B52" w:rsidRDefault="00F40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812A5B" w:rsidRDefault="00812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974882"/>
    <w:multiLevelType w:val="hybridMultilevel"/>
    <w:tmpl w:val="CDD646FC"/>
    <w:lvl w:ilvl="0" w:tplc="C4DA6F8E">
      <w:start w:val="1"/>
      <w:numFmt w:val="bullet"/>
      <w:lvlText w:val="-"/>
      <w:lvlJc w:val="left"/>
      <w:pPr>
        <w:ind w:left="720" w:hanging="360"/>
      </w:pPr>
      <w:rPr>
        <w:rFonts w:ascii="Calibri" w:hAnsi="Calibri" w:hint="default"/>
      </w:rPr>
    </w:lvl>
    <w:lvl w:ilvl="1" w:tplc="23CA8488">
      <w:start w:val="1"/>
      <w:numFmt w:val="bullet"/>
      <w:lvlText w:val="o"/>
      <w:lvlJc w:val="left"/>
      <w:pPr>
        <w:ind w:left="1440" w:hanging="360"/>
      </w:pPr>
      <w:rPr>
        <w:rFonts w:ascii="Courier New" w:hAnsi="Courier New" w:hint="default"/>
      </w:rPr>
    </w:lvl>
    <w:lvl w:ilvl="2" w:tplc="C380AADE">
      <w:start w:val="1"/>
      <w:numFmt w:val="bullet"/>
      <w:lvlText w:val=""/>
      <w:lvlJc w:val="left"/>
      <w:pPr>
        <w:ind w:left="2160" w:hanging="360"/>
      </w:pPr>
      <w:rPr>
        <w:rFonts w:ascii="Wingdings" w:hAnsi="Wingdings" w:hint="default"/>
      </w:rPr>
    </w:lvl>
    <w:lvl w:ilvl="3" w:tplc="8B7CBAA2">
      <w:start w:val="1"/>
      <w:numFmt w:val="bullet"/>
      <w:lvlText w:val=""/>
      <w:lvlJc w:val="left"/>
      <w:pPr>
        <w:ind w:left="2880" w:hanging="360"/>
      </w:pPr>
      <w:rPr>
        <w:rFonts w:ascii="Symbol" w:hAnsi="Symbol" w:hint="default"/>
      </w:rPr>
    </w:lvl>
    <w:lvl w:ilvl="4" w:tplc="788E7DC4">
      <w:start w:val="1"/>
      <w:numFmt w:val="bullet"/>
      <w:lvlText w:val="o"/>
      <w:lvlJc w:val="left"/>
      <w:pPr>
        <w:ind w:left="3600" w:hanging="360"/>
      </w:pPr>
      <w:rPr>
        <w:rFonts w:ascii="Courier New" w:hAnsi="Courier New" w:hint="default"/>
      </w:rPr>
    </w:lvl>
    <w:lvl w:ilvl="5" w:tplc="2DB4B584">
      <w:start w:val="1"/>
      <w:numFmt w:val="bullet"/>
      <w:lvlText w:val=""/>
      <w:lvlJc w:val="left"/>
      <w:pPr>
        <w:ind w:left="4320" w:hanging="360"/>
      </w:pPr>
      <w:rPr>
        <w:rFonts w:ascii="Wingdings" w:hAnsi="Wingdings" w:hint="default"/>
      </w:rPr>
    </w:lvl>
    <w:lvl w:ilvl="6" w:tplc="277E8444">
      <w:start w:val="1"/>
      <w:numFmt w:val="bullet"/>
      <w:lvlText w:val=""/>
      <w:lvlJc w:val="left"/>
      <w:pPr>
        <w:ind w:left="5040" w:hanging="360"/>
      </w:pPr>
      <w:rPr>
        <w:rFonts w:ascii="Symbol" w:hAnsi="Symbol" w:hint="default"/>
      </w:rPr>
    </w:lvl>
    <w:lvl w:ilvl="7" w:tplc="B3E616AE">
      <w:start w:val="1"/>
      <w:numFmt w:val="bullet"/>
      <w:lvlText w:val="o"/>
      <w:lvlJc w:val="left"/>
      <w:pPr>
        <w:ind w:left="5760" w:hanging="360"/>
      </w:pPr>
      <w:rPr>
        <w:rFonts w:ascii="Courier New" w:hAnsi="Courier New" w:hint="default"/>
      </w:rPr>
    </w:lvl>
    <w:lvl w:ilvl="8" w:tplc="967ED0D2">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DCF1160"/>
    <w:multiLevelType w:val="hybridMultilevel"/>
    <w:tmpl w:val="C61A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4" w15:restartNumberingAfterBreak="0">
    <w:nsid w:val="6F960F51"/>
    <w:multiLevelType w:val="hybridMultilevel"/>
    <w:tmpl w:val="A5DC626A"/>
    <w:lvl w:ilvl="0" w:tplc="0C986EA4">
      <w:start w:val="1"/>
      <w:numFmt w:val="bullet"/>
      <w:lvlText w:val="-"/>
      <w:lvlJc w:val="left"/>
      <w:pPr>
        <w:ind w:left="720" w:hanging="360"/>
      </w:pPr>
      <w:rPr>
        <w:rFonts w:ascii="Calibri" w:hAnsi="Calibri" w:hint="default"/>
      </w:rPr>
    </w:lvl>
    <w:lvl w:ilvl="1" w:tplc="28B64806">
      <w:start w:val="1"/>
      <w:numFmt w:val="bullet"/>
      <w:lvlText w:val="o"/>
      <w:lvlJc w:val="left"/>
      <w:pPr>
        <w:ind w:left="1440" w:hanging="360"/>
      </w:pPr>
      <w:rPr>
        <w:rFonts w:ascii="Courier New" w:hAnsi="Courier New" w:hint="default"/>
      </w:rPr>
    </w:lvl>
    <w:lvl w:ilvl="2" w:tplc="82266976">
      <w:start w:val="1"/>
      <w:numFmt w:val="bullet"/>
      <w:lvlText w:val=""/>
      <w:lvlJc w:val="left"/>
      <w:pPr>
        <w:ind w:left="2160" w:hanging="360"/>
      </w:pPr>
      <w:rPr>
        <w:rFonts w:ascii="Wingdings" w:hAnsi="Wingdings" w:hint="default"/>
      </w:rPr>
    </w:lvl>
    <w:lvl w:ilvl="3" w:tplc="37B6A2C4">
      <w:start w:val="1"/>
      <w:numFmt w:val="bullet"/>
      <w:lvlText w:val=""/>
      <w:lvlJc w:val="left"/>
      <w:pPr>
        <w:ind w:left="2880" w:hanging="360"/>
      </w:pPr>
      <w:rPr>
        <w:rFonts w:ascii="Symbol" w:hAnsi="Symbol" w:hint="default"/>
      </w:rPr>
    </w:lvl>
    <w:lvl w:ilvl="4" w:tplc="DD0CC3FE">
      <w:start w:val="1"/>
      <w:numFmt w:val="bullet"/>
      <w:lvlText w:val="o"/>
      <w:lvlJc w:val="left"/>
      <w:pPr>
        <w:ind w:left="3600" w:hanging="360"/>
      </w:pPr>
      <w:rPr>
        <w:rFonts w:ascii="Courier New" w:hAnsi="Courier New" w:hint="default"/>
      </w:rPr>
    </w:lvl>
    <w:lvl w:ilvl="5" w:tplc="716487B4">
      <w:start w:val="1"/>
      <w:numFmt w:val="bullet"/>
      <w:lvlText w:val=""/>
      <w:lvlJc w:val="left"/>
      <w:pPr>
        <w:ind w:left="4320" w:hanging="360"/>
      </w:pPr>
      <w:rPr>
        <w:rFonts w:ascii="Wingdings" w:hAnsi="Wingdings" w:hint="default"/>
      </w:rPr>
    </w:lvl>
    <w:lvl w:ilvl="6" w:tplc="6B145E2E">
      <w:start w:val="1"/>
      <w:numFmt w:val="bullet"/>
      <w:lvlText w:val=""/>
      <w:lvlJc w:val="left"/>
      <w:pPr>
        <w:ind w:left="5040" w:hanging="360"/>
      </w:pPr>
      <w:rPr>
        <w:rFonts w:ascii="Symbol" w:hAnsi="Symbol" w:hint="default"/>
      </w:rPr>
    </w:lvl>
    <w:lvl w:ilvl="7" w:tplc="79644EA8">
      <w:start w:val="1"/>
      <w:numFmt w:val="bullet"/>
      <w:lvlText w:val="o"/>
      <w:lvlJc w:val="left"/>
      <w:pPr>
        <w:ind w:left="5760" w:hanging="360"/>
      </w:pPr>
      <w:rPr>
        <w:rFonts w:ascii="Courier New" w:hAnsi="Courier New" w:hint="default"/>
      </w:rPr>
    </w:lvl>
    <w:lvl w:ilvl="8" w:tplc="E5080F36">
      <w:start w:val="1"/>
      <w:numFmt w:val="bullet"/>
      <w:lvlText w:val=""/>
      <w:lvlJc w:val="left"/>
      <w:pPr>
        <w:ind w:left="6480" w:hanging="360"/>
      </w:pPr>
      <w:rPr>
        <w:rFonts w:ascii="Wingdings" w:hAnsi="Wingdings" w:hint="defaul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3D0335A"/>
    <w:multiLevelType w:val="hybridMultilevel"/>
    <w:tmpl w:val="AB9ABC2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75081709"/>
    <w:multiLevelType w:val="hybridMultilevel"/>
    <w:tmpl w:val="DC24F3A6"/>
    <w:lvl w:ilvl="0" w:tplc="EE36114E">
      <w:start w:val="1"/>
      <w:numFmt w:val="bullet"/>
      <w:lvlText w:val=""/>
      <w:lvlJc w:val="left"/>
      <w:pPr>
        <w:ind w:left="720" w:hanging="360"/>
      </w:pPr>
      <w:rPr>
        <w:rFonts w:ascii="Symbol" w:hAnsi="Symbol" w:hint="default"/>
      </w:rPr>
    </w:lvl>
    <w:lvl w:ilvl="1" w:tplc="63925718">
      <w:start w:val="1"/>
      <w:numFmt w:val="bullet"/>
      <w:lvlText w:val="o"/>
      <w:lvlJc w:val="left"/>
      <w:pPr>
        <w:ind w:left="1440" w:hanging="360"/>
      </w:pPr>
      <w:rPr>
        <w:rFonts w:ascii="Courier New" w:hAnsi="Courier New" w:hint="default"/>
      </w:rPr>
    </w:lvl>
    <w:lvl w:ilvl="2" w:tplc="B1C2D10C">
      <w:start w:val="1"/>
      <w:numFmt w:val="bullet"/>
      <w:lvlText w:val=""/>
      <w:lvlJc w:val="left"/>
      <w:pPr>
        <w:ind w:left="2160" w:hanging="360"/>
      </w:pPr>
      <w:rPr>
        <w:rFonts w:ascii="Wingdings" w:hAnsi="Wingdings" w:hint="default"/>
      </w:rPr>
    </w:lvl>
    <w:lvl w:ilvl="3" w:tplc="67267AB8">
      <w:start w:val="1"/>
      <w:numFmt w:val="bullet"/>
      <w:lvlText w:val=""/>
      <w:lvlJc w:val="left"/>
      <w:pPr>
        <w:ind w:left="2880" w:hanging="360"/>
      </w:pPr>
      <w:rPr>
        <w:rFonts w:ascii="Symbol" w:hAnsi="Symbol" w:hint="default"/>
      </w:rPr>
    </w:lvl>
    <w:lvl w:ilvl="4" w:tplc="8BA24B06">
      <w:start w:val="1"/>
      <w:numFmt w:val="bullet"/>
      <w:lvlText w:val="o"/>
      <w:lvlJc w:val="left"/>
      <w:pPr>
        <w:ind w:left="3600" w:hanging="360"/>
      </w:pPr>
      <w:rPr>
        <w:rFonts w:ascii="Courier New" w:hAnsi="Courier New" w:hint="default"/>
      </w:rPr>
    </w:lvl>
    <w:lvl w:ilvl="5" w:tplc="9AC60E68">
      <w:start w:val="1"/>
      <w:numFmt w:val="bullet"/>
      <w:lvlText w:val=""/>
      <w:lvlJc w:val="left"/>
      <w:pPr>
        <w:ind w:left="4320" w:hanging="360"/>
      </w:pPr>
      <w:rPr>
        <w:rFonts w:ascii="Wingdings" w:hAnsi="Wingdings" w:hint="default"/>
      </w:rPr>
    </w:lvl>
    <w:lvl w:ilvl="6" w:tplc="12A6ED68">
      <w:start w:val="1"/>
      <w:numFmt w:val="bullet"/>
      <w:lvlText w:val=""/>
      <w:lvlJc w:val="left"/>
      <w:pPr>
        <w:ind w:left="5040" w:hanging="360"/>
      </w:pPr>
      <w:rPr>
        <w:rFonts w:ascii="Symbol" w:hAnsi="Symbol" w:hint="default"/>
      </w:rPr>
    </w:lvl>
    <w:lvl w:ilvl="7" w:tplc="557E22AC">
      <w:start w:val="1"/>
      <w:numFmt w:val="bullet"/>
      <w:lvlText w:val="o"/>
      <w:lvlJc w:val="left"/>
      <w:pPr>
        <w:ind w:left="5760" w:hanging="360"/>
      </w:pPr>
      <w:rPr>
        <w:rFonts w:ascii="Courier New" w:hAnsi="Courier New" w:hint="default"/>
      </w:rPr>
    </w:lvl>
    <w:lvl w:ilvl="8" w:tplc="641E4144">
      <w:start w:val="1"/>
      <w:numFmt w:val="bullet"/>
      <w:lvlText w:val=""/>
      <w:lvlJc w:val="left"/>
      <w:pPr>
        <w:ind w:left="6480" w:hanging="360"/>
      </w:pPr>
      <w:rPr>
        <w:rFonts w:ascii="Wingdings" w:hAnsi="Wingdings" w:hint="default"/>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4"/>
  </w:num>
  <w:num w:numId="2">
    <w:abstractNumId w:val="1"/>
  </w:num>
  <w:num w:numId="3">
    <w:abstractNumId w:val="18"/>
  </w:num>
  <w:num w:numId="4">
    <w:abstractNumId w:val="4"/>
  </w:num>
  <w:num w:numId="5">
    <w:abstractNumId w:val="2"/>
  </w:num>
  <w:num w:numId="6">
    <w:abstractNumId w:val="5"/>
  </w:num>
  <w:num w:numId="7">
    <w:abstractNumId w:val="7"/>
  </w:num>
  <w:num w:numId="8">
    <w:abstractNumId w:val="0"/>
  </w:num>
  <w:num w:numId="9">
    <w:abstractNumId w:val="9"/>
  </w:num>
  <w:num w:numId="10">
    <w:abstractNumId w:val="11"/>
  </w:num>
  <w:num w:numId="11">
    <w:abstractNumId w:val="19"/>
  </w:num>
  <w:num w:numId="12">
    <w:abstractNumId w:val="15"/>
  </w:num>
  <w:num w:numId="13">
    <w:abstractNumId w:val="12"/>
  </w:num>
  <w:num w:numId="14">
    <w:abstractNumId w:val="3"/>
  </w:num>
  <w:num w:numId="15">
    <w:abstractNumId w:val="16"/>
  </w:num>
  <w:num w:numId="16">
    <w:abstractNumId w:val="10"/>
  </w:num>
  <w:num w:numId="17">
    <w:abstractNumId w:val="6"/>
  </w:num>
  <w:num w:numId="18">
    <w:abstractNumId w:val="8"/>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247F"/>
    <w:rsid w:val="000541D3"/>
    <w:rsid w:val="000576CE"/>
    <w:rsid w:val="00066B73"/>
    <w:rsid w:val="000A0C7F"/>
    <w:rsid w:val="000C3D7F"/>
    <w:rsid w:val="000F13E0"/>
    <w:rsid w:val="00120AB1"/>
    <w:rsid w:val="00131924"/>
    <w:rsid w:val="001D1F54"/>
    <w:rsid w:val="001F01F1"/>
    <w:rsid w:val="001F34A9"/>
    <w:rsid w:val="00202482"/>
    <w:rsid w:val="00202EF1"/>
    <w:rsid w:val="002C1A59"/>
    <w:rsid w:val="002C28B3"/>
    <w:rsid w:val="002E47F3"/>
    <w:rsid w:val="002E5FB8"/>
    <w:rsid w:val="00370C06"/>
    <w:rsid w:val="003D43D5"/>
    <w:rsid w:val="003E41A8"/>
    <w:rsid w:val="003E6218"/>
    <w:rsid w:val="004044AA"/>
    <w:rsid w:val="0050291A"/>
    <w:rsid w:val="00540C44"/>
    <w:rsid w:val="00570D94"/>
    <w:rsid w:val="0059365A"/>
    <w:rsid w:val="005E1B33"/>
    <w:rsid w:val="006243F2"/>
    <w:rsid w:val="00634234"/>
    <w:rsid w:val="006E7FB1"/>
    <w:rsid w:val="00713FE6"/>
    <w:rsid w:val="0072424B"/>
    <w:rsid w:val="00741B9E"/>
    <w:rsid w:val="00756F41"/>
    <w:rsid w:val="00783435"/>
    <w:rsid w:val="00792F92"/>
    <w:rsid w:val="007C2F04"/>
    <w:rsid w:val="007E5BE1"/>
    <w:rsid w:val="007F2C7F"/>
    <w:rsid w:val="00812A5B"/>
    <w:rsid w:val="00870847"/>
    <w:rsid w:val="00895A59"/>
    <w:rsid w:val="008E31B8"/>
    <w:rsid w:val="00905FF3"/>
    <w:rsid w:val="00940A85"/>
    <w:rsid w:val="009B5768"/>
    <w:rsid w:val="009B776F"/>
    <w:rsid w:val="009D71E8"/>
    <w:rsid w:val="00A12D60"/>
    <w:rsid w:val="00A25895"/>
    <w:rsid w:val="00A35D63"/>
    <w:rsid w:val="00A577CB"/>
    <w:rsid w:val="00A77C99"/>
    <w:rsid w:val="00AD1D51"/>
    <w:rsid w:val="00B20979"/>
    <w:rsid w:val="00B45511"/>
    <w:rsid w:val="00B75329"/>
    <w:rsid w:val="00B75DB7"/>
    <w:rsid w:val="00BE4FD6"/>
    <w:rsid w:val="00C4237D"/>
    <w:rsid w:val="00D029CD"/>
    <w:rsid w:val="00D218C0"/>
    <w:rsid w:val="00D33FE5"/>
    <w:rsid w:val="00D458EE"/>
    <w:rsid w:val="00D91673"/>
    <w:rsid w:val="00DF1463"/>
    <w:rsid w:val="00E10B45"/>
    <w:rsid w:val="00E30EE4"/>
    <w:rsid w:val="00E653A8"/>
    <w:rsid w:val="00E66558"/>
    <w:rsid w:val="00E828CF"/>
    <w:rsid w:val="00E852C7"/>
    <w:rsid w:val="00E925CB"/>
    <w:rsid w:val="00ED5D6B"/>
    <w:rsid w:val="00F40B52"/>
    <w:rsid w:val="01C472DA"/>
    <w:rsid w:val="01FD30D3"/>
    <w:rsid w:val="0229361E"/>
    <w:rsid w:val="028D0DD5"/>
    <w:rsid w:val="02A63632"/>
    <w:rsid w:val="0353201E"/>
    <w:rsid w:val="039AE2F6"/>
    <w:rsid w:val="03E012F9"/>
    <w:rsid w:val="043138B5"/>
    <w:rsid w:val="04420693"/>
    <w:rsid w:val="048C188E"/>
    <w:rsid w:val="04966C6C"/>
    <w:rsid w:val="04C8A6FB"/>
    <w:rsid w:val="04F3F223"/>
    <w:rsid w:val="052DDC00"/>
    <w:rsid w:val="0533FF66"/>
    <w:rsid w:val="053685BC"/>
    <w:rsid w:val="05B813D0"/>
    <w:rsid w:val="05CB2A3F"/>
    <w:rsid w:val="063863B3"/>
    <w:rsid w:val="06656169"/>
    <w:rsid w:val="067256C0"/>
    <w:rsid w:val="067659AE"/>
    <w:rsid w:val="068AC0E0"/>
    <w:rsid w:val="06B6692F"/>
    <w:rsid w:val="06CB9482"/>
    <w:rsid w:val="06D05ACE"/>
    <w:rsid w:val="06E639DF"/>
    <w:rsid w:val="06F721DD"/>
    <w:rsid w:val="070244F7"/>
    <w:rsid w:val="072F7BD2"/>
    <w:rsid w:val="07389C58"/>
    <w:rsid w:val="075D675A"/>
    <w:rsid w:val="07607EF8"/>
    <w:rsid w:val="0779A755"/>
    <w:rsid w:val="07F832F9"/>
    <w:rsid w:val="081C74C8"/>
    <w:rsid w:val="085DDA5B"/>
    <w:rsid w:val="0884492F"/>
    <w:rsid w:val="08D23AA6"/>
    <w:rsid w:val="08D699B6"/>
    <w:rsid w:val="08EFB492"/>
    <w:rsid w:val="093DDFDC"/>
    <w:rsid w:val="099E585D"/>
    <w:rsid w:val="09A3AA58"/>
    <w:rsid w:val="0A8B84F3"/>
    <w:rsid w:val="0A91C704"/>
    <w:rsid w:val="0B46DF94"/>
    <w:rsid w:val="0B5FCEFC"/>
    <w:rsid w:val="0BD2A7BA"/>
    <w:rsid w:val="0BEBFBCE"/>
    <w:rsid w:val="0C04AC0C"/>
    <w:rsid w:val="0C99B7CE"/>
    <w:rsid w:val="0D03FC41"/>
    <w:rsid w:val="0D5E0397"/>
    <w:rsid w:val="0D7DBD5C"/>
    <w:rsid w:val="0D85F413"/>
    <w:rsid w:val="0D959B53"/>
    <w:rsid w:val="0DBD4698"/>
    <w:rsid w:val="0DF81931"/>
    <w:rsid w:val="0E32EF17"/>
    <w:rsid w:val="0E349314"/>
    <w:rsid w:val="0E555570"/>
    <w:rsid w:val="0E6031CE"/>
    <w:rsid w:val="0E75021A"/>
    <w:rsid w:val="0E830B2C"/>
    <w:rsid w:val="0E926216"/>
    <w:rsid w:val="0ED98792"/>
    <w:rsid w:val="0EEADF93"/>
    <w:rsid w:val="0F47B420"/>
    <w:rsid w:val="0F5D9FE8"/>
    <w:rsid w:val="0F644880"/>
    <w:rsid w:val="0FAD42EA"/>
    <w:rsid w:val="0FCEBF78"/>
    <w:rsid w:val="0FE09FF3"/>
    <w:rsid w:val="100E9795"/>
    <w:rsid w:val="1031A326"/>
    <w:rsid w:val="10738EBD"/>
    <w:rsid w:val="107EE16D"/>
    <w:rsid w:val="10957602"/>
    <w:rsid w:val="10B63EC7"/>
    <w:rsid w:val="111DC406"/>
    <w:rsid w:val="114BBBD5"/>
    <w:rsid w:val="117FC5F6"/>
    <w:rsid w:val="118FB599"/>
    <w:rsid w:val="119593EB"/>
    <w:rsid w:val="11E5640E"/>
    <w:rsid w:val="11F5C99F"/>
    <w:rsid w:val="124692A2"/>
    <w:rsid w:val="129540AA"/>
    <w:rsid w:val="12B0B39C"/>
    <w:rsid w:val="12DFA125"/>
    <w:rsid w:val="1330FFDC"/>
    <w:rsid w:val="134D2829"/>
    <w:rsid w:val="1360E18D"/>
    <w:rsid w:val="1364B8D9"/>
    <w:rsid w:val="13BF2EFF"/>
    <w:rsid w:val="143F0200"/>
    <w:rsid w:val="14E56AAF"/>
    <w:rsid w:val="14EC2F9C"/>
    <w:rsid w:val="14FE3F8D"/>
    <w:rsid w:val="1519BF52"/>
    <w:rsid w:val="158AF292"/>
    <w:rsid w:val="1617B3C3"/>
    <w:rsid w:val="16705B53"/>
    <w:rsid w:val="1689D256"/>
    <w:rsid w:val="168B958B"/>
    <w:rsid w:val="16D6F658"/>
    <w:rsid w:val="173365B2"/>
    <w:rsid w:val="177BA702"/>
    <w:rsid w:val="17D84EDC"/>
    <w:rsid w:val="17F8EC43"/>
    <w:rsid w:val="180D4727"/>
    <w:rsid w:val="18A5FE3B"/>
    <w:rsid w:val="18F1061D"/>
    <w:rsid w:val="190BC47E"/>
    <w:rsid w:val="19429B16"/>
    <w:rsid w:val="19714BA0"/>
    <w:rsid w:val="1994BCA4"/>
    <w:rsid w:val="199A842A"/>
    <w:rsid w:val="1A103096"/>
    <w:rsid w:val="1A41CE9C"/>
    <w:rsid w:val="1A7CB29B"/>
    <w:rsid w:val="1ACA6C6F"/>
    <w:rsid w:val="1B987E21"/>
    <w:rsid w:val="1BE6641E"/>
    <w:rsid w:val="1C010632"/>
    <w:rsid w:val="1C3EFBDF"/>
    <w:rsid w:val="1C5BB6A6"/>
    <w:rsid w:val="1C72662E"/>
    <w:rsid w:val="1D6925F7"/>
    <w:rsid w:val="1DFD3BEF"/>
    <w:rsid w:val="1E0655E1"/>
    <w:rsid w:val="1E2B9466"/>
    <w:rsid w:val="1E2F0DAC"/>
    <w:rsid w:val="1E805ACE"/>
    <w:rsid w:val="1EC07EDC"/>
    <w:rsid w:val="1F373D26"/>
    <w:rsid w:val="1F5CA45E"/>
    <w:rsid w:val="1FBAA700"/>
    <w:rsid w:val="201B6639"/>
    <w:rsid w:val="204FB476"/>
    <w:rsid w:val="20F553BE"/>
    <w:rsid w:val="214E09D5"/>
    <w:rsid w:val="21510CCB"/>
    <w:rsid w:val="217D4CDD"/>
    <w:rsid w:val="219ED333"/>
    <w:rsid w:val="21AA5331"/>
    <w:rsid w:val="21C83A48"/>
    <w:rsid w:val="21E68049"/>
    <w:rsid w:val="22134B7C"/>
    <w:rsid w:val="22531DB4"/>
    <w:rsid w:val="227EC006"/>
    <w:rsid w:val="22A0E0A7"/>
    <w:rsid w:val="230828E8"/>
    <w:rsid w:val="233AA394"/>
    <w:rsid w:val="235C4731"/>
    <w:rsid w:val="23AD185C"/>
    <w:rsid w:val="2411D5AB"/>
    <w:rsid w:val="2495E929"/>
    <w:rsid w:val="24D795BE"/>
    <w:rsid w:val="24DEC61C"/>
    <w:rsid w:val="24E5F3F7"/>
    <w:rsid w:val="2509FD3C"/>
    <w:rsid w:val="25B660C8"/>
    <w:rsid w:val="265177E3"/>
    <w:rsid w:val="26A01E7A"/>
    <w:rsid w:val="26B01520"/>
    <w:rsid w:val="27523129"/>
    <w:rsid w:val="27A4AF44"/>
    <w:rsid w:val="27C2D8D9"/>
    <w:rsid w:val="284A2471"/>
    <w:rsid w:val="293FDE2A"/>
    <w:rsid w:val="2958385E"/>
    <w:rsid w:val="29B2CDF4"/>
    <w:rsid w:val="29BAC100"/>
    <w:rsid w:val="29FDDCBC"/>
    <w:rsid w:val="2A8917C4"/>
    <w:rsid w:val="2A8E0250"/>
    <w:rsid w:val="2B372366"/>
    <w:rsid w:val="2B55357B"/>
    <w:rsid w:val="2B744FAA"/>
    <w:rsid w:val="2B84CD8B"/>
    <w:rsid w:val="2BE90822"/>
    <w:rsid w:val="2C05F372"/>
    <w:rsid w:val="2C2CC079"/>
    <w:rsid w:val="2C3C82F4"/>
    <w:rsid w:val="2C5AB4F2"/>
    <w:rsid w:val="2CB958DF"/>
    <w:rsid w:val="2D7B43EB"/>
    <w:rsid w:val="2E0A30D2"/>
    <w:rsid w:val="2E136480"/>
    <w:rsid w:val="2E357275"/>
    <w:rsid w:val="2E49A5B6"/>
    <w:rsid w:val="2E7D563B"/>
    <w:rsid w:val="2E80562B"/>
    <w:rsid w:val="2F20A8E4"/>
    <w:rsid w:val="2F357B23"/>
    <w:rsid w:val="2FA611A8"/>
    <w:rsid w:val="2FB8DED1"/>
    <w:rsid w:val="2FEE9341"/>
    <w:rsid w:val="3005FE1F"/>
    <w:rsid w:val="30A45C4A"/>
    <w:rsid w:val="30BC7945"/>
    <w:rsid w:val="30D0C959"/>
    <w:rsid w:val="30FA9155"/>
    <w:rsid w:val="311C6991"/>
    <w:rsid w:val="3181C1C1"/>
    <w:rsid w:val="31B4F6FD"/>
    <w:rsid w:val="31B7F6ED"/>
    <w:rsid w:val="31CDB8B8"/>
    <w:rsid w:val="31E88044"/>
    <w:rsid w:val="320B8C44"/>
    <w:rsid w:val="323018CE"/>
    <w:rsid w:val="32534344"/>
    <w:rsid w:val="32CEEC9E"/>
    <w:rsid w:val="33BF4B55"/>
    <w:rsid w:val="33F3BB53"/>
    <w:rsid w:val="349D03CD"/>
    <w:rsid w:val="34F9AF46"/>
    <w:rsid w:val="3521D99D"/>
    <w:rsid w:val="3577CD6D"/>
    <w:rsid w:val="35BB5FE6"/>
    <w:rsid w:val="36EB79FA"/>
    <w:rsid w:val="36F6BC05"/>
    <w:rsid w:val="3730B3EB"/>
    <w:rsid w:val="37408D08"/>
    <w:rsid w:val="378FA9C7"/>
    <w:rsid w:val="3794D144"/>
    <w:rsid w:val="37C211EC"/>
    <w:rsid w:val="3872C5BD"/>
    <w:rsid w:val="388F286B"/>
    <w:rsid w:val="38CF78B0"/>
    <w:rsid w:val="39642E9C"/>
    <w:rsid w:val="39756F21"/>
    <w:rsid w:val="39B31D98"/>
    <w:rsid w:val="3A1B64B0"/>
    <w:rsid w:val="3AE033BA"/>
    <w:rsid w:val="3B055372"/>
    <w:rsid w:val="3B584B9C"/>
    <w:rsid w:val="3B74E55D"/>
    <w:rsid w:val="3B759966"/>
    <w:rsid w:val="3C071972"/>
    <w:rsid w:val="3C479395"/>
    <w:rsid w:val="3C6AEF1D"/>
    <w:rsid w:val="3C7F1ECE"/>
    <w:rsid w:val="3CE039BE"/>
    <w:rsid w:val="3CFF972A"/>
    <w:rsid w:val="3D407A0A"/>
    <w:rsid w:val="3D7C1C52"/>
    <w:rsid w:val="3DB67312"/>
    <w:rsid w:val="3E0CC27C"/>
    <w:rsid w:val="3E1D9FB0"/>
    <w:rsid w:val="3E1F53C1"/>
    <w:rsid w:val="3E64F5EA"/>
    <w:rsid w:val="3E863DA6"/>
    <w:rsid w:val="3E91219A"/>
    <w:rsid w:val="3EAAB187"/>
    <w:rsid w:val="3EB6D739"/>
    <w:rsid w:val="3EF4B3F6"/>
    <w:rsid w:val="3EF66A9D"/>
    <w:rsid w:val="3F205C40"/>
    <w:rsid w:val="3F69C30C"/>
    <w:rsid w:val="3FBED9DB"/>
    <w:rsid w:val="3FD3890E"/>
    <w:rsid w:val="3FEE2C4C"/>
    <w:rsid w:val="407CADF3"/>
    <w:rsid w:val="40A07DA3"/>
    <w:rsid w:val="40C5A2B6"/>
    <w:rsid w:val="415FA37B"/>
    <w:rsid w:val="41AE4307"/>
    <w:rsid w:val="4331190A"/>
    <w:rsid w:val="435E8094"/>
    <w:rsid w:val="439FB332"/>
    <w:rsid w:val="43D77ED0"/>
    <w:rsid w:val="43EF9D3E"/>
    <w:rsid w:val="444A11A1"/>
    <w:rsid w:val="444A6E9A"/>
    <w:rsid w:val="44AF9C18"/>
    <w:rsid w:val="452EC87F"/>
    <w:rsid w:val="4557B324"/>
    <w:rsid w:val="45766C4E"/>
    <w:rsid w:val="45C633DB"/>
    <w:rsid w:val="45E0560F"/>
    <w:rsid w:val="4670DC0D"/>
    <w:rsid w:val="4699D125"/>
    <w:rsid w:val="46B6B828"/>
    <w:rsid w:val="46BC88CB"/>
    <w:rsid w:val="46E8E4B6"/>
    <w:rsid w:val="472252AA"/>
    <w:rsid w:val="47797324"/>
    <w:rsid w:val="4823DE16"/>
    <w:rsid w:val="486FC3D9"/>
    <w:rsid w:val="48E1465C"/>
    <w:rsid w:val="48FA6EB9"/>
    <w:rsid w:val="492E7B30"/>
    <w:rsid w:val="4955AE68"/>
    <w:rsid w:val="49778F96"/>
    <w:rsid w:val="49D5308D"/>
    <w:rsid w:val="49EA3DC9"/>
    <w:rsid w:val="4A7D16BD"/>
    <w:rsid w:val="4AA1C754"/>
    <w:rsid w:val="4AF514F5"/>
    <w:rsid w:val="4B3BFCF0"/>
    <w:rsid w:val="4B48962A"/>
    <w:rsid w:val="4B6D4248"/>
    <w:rsid w:val="4B7E3428"/>
    <w:rsid w:val="4BA8981D"/>
    <w:rsid w:val="4C327359"/>
    <w:rsid w:val="4C4C97A3"/>
    <w:rsid w:val="4C4F0A35"/>
    <w:rsid w:val="4C4F9793"/>
    <w:rsid w:val="4CB786CF"/>
    <w:rsid w:val="4CD1D393"/>
    <w:rsid w:val="4D3A59F8"/>
    <w:rsid w:val="4D70246E"/>
    <w:rsid w:val="4D7AD8D8"/>
    <w:rsid w:val="4DA27E58"/>
    <w:rsid w:val="4F001891"/>
    <w:rsid w:val="4F4522E7"/>
    <w:rsid w:val="5014FF2F"/>
    <w:rsid w:val="5037F958"/>
    <w:rsid w:val="50993151"/>
    <w:rsid w:val="50ADCA20"/>
    <w:rsid w:val="518B1726"/>
    <w:rsid w:val="51F97410"/>
    <w:rsid w:val="52220F1D"/>
    <w:rsid w:val="523908BC"/>
    <w:rsid w:val="52B90BDF"/>
    <w:rsid w:val="52DEC7D2"/>
    <w:rsid w:val="53888FA0"/>
    <w:rsid w:val="5452EEC3"/>
    <w:rsid w:val="54A636C4"/>
    <w:rsid w:val="54F10ADE"/>
    <w:rsid w:val="55317BBC"/>
    <w:rsid w:val="554A9134"/>
    <w:rsid w:val="55B97404"/>
    <w:rsid w:val="562EF0B6"/>
    <w:rsid w:val="56578526"/>
    <w:rsid w:val="566558C9"/>
    <w:rsid w:val="56AB2F64"/>
    <w:rsid w:val="570FD317"/>
    <w:rsid w:val="5749609E"/>
    <w:rsid w:val="57A410B9"/>
    <w:rsid w:val="57C31355"/>
    <w:rsid w:val="57D620C4"/>
    <w:rsid w:val="57E069D8"/>
    <w:rsid w:val="57EE203F"/>
    <w:rsid w:val="57FD6A15"/>
    <w:rsid w:val="580DF0D5"/>
    <w:rsid w:val="582633E1"/>
    <w:rsid w:val="583259F4"/>
    <w:rsid w:val="587724A3"/>
    <w:rsid w:val="58CD34A9"/>
    <w:rsid w:val="58D264C2"/>
    <w:rsid w:val="59295FD6"/>
    <w:rsid w:val="59330831"/>
    <w:rsid w:val="59500AB7"/>
    <w:rsid w:val="59AC026A"/>
    <w:rsid w:val="59B87C2B"/>
    <w:rsid w:val="5A2F1C56"/>
    <w:rsid w:val="5A66DF4C"/>
    <w:rsid w:val="5ABAFE3C"/>
    <w:rsid w:val="5AC53037"/>
    <w:rsid w:val="5ACED892"/>
    <w:rsid w:val="5CD0E262"/>
    <w:rsid w:val="5DA57797"/>
    <w:rsid w:val="5DCD80FC"/>
    <w:rsid w:val="5DE877E1"/>
    <w:rsid w:val="5E067954"/>
    <w:rsid w:val="5E16B80C"/>
    <w:rsid w:val="5E84BF95"/>
    <w:rsid w:val="5E8C65A2"/>
    <w:rsid w:val="5E8D760D"/>
    <w:rsid w:val="5F5E0069"/>
    <w:rsid w:val="5F9A38EF"/>
    <w:rsid w:val="5FB2C76B"/>
    <w:rsid w:val="5FD47CCE"/>
    <w:rsid w:val="5FED488F"/>
    <w:rsid w:val="60675BCD"/>
    <w:rsid w:val="607DDE4A"/>
    <w:rsid w:val="6088733E"/>
    <w:rsid w:val="60D96639"/>
    <w:rsid w:val="61428522"/>
    <w:rsid w:val="61C35C53"/>
    <w:rsid w:val="61FEA884"/>
    <w:rsid w:val="62216DA4"/>
    <w:rsid w:val="6267BF4D"/>
    <w:rsid w:val="62743C62"/>
    <w:rsid w:val="62C8CE6B"/>
    <w:rsid w:val="62CD422C"/>
    <w:rsid w:val="630C1D90"/>
    <w:rsid w:val="63DECF4B"/>
    <w:rsid w:val="63FE683E"/>
    <w:rsid w:val="642FD12C"/>
    <w:rsid w:val="6468CF8E"/>
    <w:rsid w:val="647DD41A"/>
    <w:rsid w:val="64C44814"/>
    <w:rsid w:val="650B42FB"/>
    <w:rsid w:val="65190D81"/>
    <w:rsid w:val="65972B21"/>
    <w:rsid w:val="65DBFF03"/>
    <w:rsid w:val="65DE01B6"/>
    <w:rsid w:val="65E4739A"/>
    <w:rsid w:val="6639E0EA"/>
    <w:rsid w:val="6657C757"/>
    <w:rsid w:val="66D10F58"/>
    <w:rsid w:val="66EA4CFD"/>
    <w:rsid w:val="67383CA0"/>
    <w:rsid w:val="67A471F5"/>
    <w:rsid w:val="67AC8AFF"/>
    <w:rsid w:val="67BC9D6A"/>
    <w:rsid w:val="6812797E"/>
    <w:rsid w:val="6829F2B7"/>
    <w:rsid w:val="68410BE8"/>
    <w:rsid w:val="684ED3A9"/>
    <w:rsid w:val="6850AE43"/>
    <w:rsid w:val="685DAD47"/>
    <w:rsid w:val="686DAE90"/>
    <w:rsid w:val="6903424F"/>
    <w:rsid w:val="690A09CC"/>
    <w:rsid w:val="69D065B4"/>
    <w:rsid w:val="69FA230E"/>
    <w:rsid w:val="6AD81112"/>
    <w:rsid w:val="6ADBA07A"/>
    <w:rsid w:val="6AEFF36F"/>
    <w:rsid w:val="6B051874"/>
    <w:rsid w:val="6B05ABA2"/>
    <w:rsid w:val="6B338998"/>
    <w:rsid w:val="6B95F36F"/>
    <w:rsid w:val="6BBF96F2"/>
    <w:rsid w:val="6BD386DD"/>
    <w:rsid w:val="6BDEBE34"/>
    <w:rsid w:val="6C2A5857"/>
    <w:rsid w:val="6C84619E"/>
    <w:rsid w:val="6C8BC3D0"/>
    <w:rsid w:val="6D0A9DF5"/>
    <w:rsid w:val="6D5B6753"/>
    <w:rsid w:val="6D9D25EB"/>
    <w:rsid w:val="6DB5F98C"/>
    <w:rsid w:val="6EA65073"/>
    <w:rsid w:val="6EB6BB18"/>
    <w:rsid w:val="6EBB99A9"/>
    <w:rsid w:val="6EBD9C32"/>
    <w:rsid w:val="6EFFB582"/>
    <w:rsid w:val="6F9740AA"/>
    <w:rsid w:val="6F9A8A5D"/>
    <w:rsid w:val="6FAF83DA"/>
    <w:rsid w:val="6FFE2133"/>
    <w:rsid w:val="7040492E"/>
    <w:rsid w:val="70729DE9"/>
    <w:rsid w:val="708EB686"/>
    <w:rsid w:val="70ED0C25"/>
    <w:rsid w:val="71317C30"/>
    <w:rsid w:val="716D6997"/>
    <w:rsid w:val="71929A8B"/>
    <w:rsid w:val="7199F194"/>
    <w:rsid w:val="71B9C594"/>
    <w:rsid w:val="71FB27F1"/>
    <w:rsid w:val="724C8189"/>
    <w:rsid w:val="737A128C"/>
    <w:rsid w:val="74123EA3"/>
    <w:rsid w:val="741C2FEA"/>
    <w:rsid w:val="742A076C"/>
    <w:rsid w:val="74ADD64F"/>
    <w:rsid w:val="74B13543"/>
    <w:rsid w:val="74B75E23"/>
    <w:rsid w:val="752B85C3"/>
    <w:rsid w:val="755948B8"/>
    <w:rsid w:val="75664BE6"/>
    <w:rsid w:val="757EC8D7"/>
    <w:rsid w:val="7587F8B5"/>
    <w:rsid w:val="7625F42E"/>
    <w:rsid w:val="76CF7067"/>
    <w:rsid w:val="77054989"/>
    <w:rsid w:val="775ED674"/>
    <w:rsid w:val="7774B6F2"/>
    <w:rsid w:val="777D12D6"/>
    <w:rsid w:val="77AEA09C"/>
    <w:rsid w:val="79244D40"/>
    <w:rsid w:val="795E53A6"/>
    <w:rsid w:val="79928353"/>
    <w:rsid w:val="79B6BB10"/>
    <w:rsid w:val="79F1140C"/>
    <w:rsid w:val="7A1C706F"/>
    <w:rsid w:val="7A4A6811"/>
    <w:rsid w:val="7AEF0C83"/>
    <w:rsid w:val="7B08B282"/>
    <w:rsid w:val="7B120962"/>
    <w:rsid w:val="7B1A3BF7"/>
    <w:rsid w:val="7B585CE0"/>
    <w:rsid w:val="7C0E87F5"/>
    <w:rsid w:val="7C127DE9"/>
    <w:rsid w:val="7C29F687"/>
    <w:rsid w:val="7C790D65"/>
    <w:rsid w:val="7C8AC74E"/>
    <w:rsid w:val="7CCC1AD1"/>
    <w:rsid w:val="7D2D0AE8"/>
    <w:rsid w:val="7D9B0B29"/>
    <w:rsid w:val="7DAD01EA"/>
    <w:rsid w:val="7DAEEFA6"/>
    <w:rsid w:val="7DBFC82A"/>
    <w:rsid w:val="7E7304BB"/>
    <w:rsid w:val="7E74DECD"/>
    <w:rsid w:val="7E9A05EE"/>
    <w:rsid w:val="7EAC1BBF"/>
    <w:rsid w:val="7EC0829C"/>
    <w:rsid w:val="7EF2651D"/>
    <w:rsid w:val="7F6E956F"/>
    <w:rsid w:val="7FC56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4"/>
      </w:numPr>
      <w:spacing w:before="240" w:after="60"/>
      <w:outlineLvl w:val="5"/>
    </w:pPr>
    <w:rPr>
      <w:rFonts w:ascii="Calibri" w:hAnsi="Calibri"/>
      <w:b/>
      <w:bCs/>
      <w:szCs w:val="22"/>
    </w:rPr>
  </w:style>
  <w:style w:type="paragraph" w:styleId="Heading7">
    <w:name w:val="heading 7"/>
    <w:basedOn w:val="Normal"/>
    <w:next w:val="Normal"/>
    <w:pPr>
      <w:numPr>
        <w:ilvl w:val="6"/>
        <w:numId w:val="4"/>
      </w:numPr>
      <w:spacing w:before="240" w:after="60"/>
      <w:outlineLvl w:val="6"/>
    </w:pPr>
    <w:rPr>
      <w:rFonts w:ascii="Calibri" w:hAnsi="Calibri"/>
    </w:rPr>
  </w:style>
  <w:style w:type="paragraph" w:styleId="Heading8">
    <w:name w:val="heading 8"/>
    <w:basedOn w:val="Normal"/>
    <w:next w:val="Normal"/>
    <w:pPr>
      <w:numPr>
        <w:ilvl w:val="7"/>
        <w:numId w:val="4"/>
      </w:numPr>
      <w:spacing w:before="240" w:after="60"/>
      <w:outlineLvl w:val="7"/>
    </w:pPr>
    <w:rPr>
      <w:rFonts w:ascii="Calibri" w:hAnsi="Calibri"/>
      <w:i/>
      <w:iCs/>
    </w:rPr>
  </w:style>
  <w:style w:type="paragraph" w:styleId="Heading9">
    <w:name w:val="heading 9"/>
    <w:basedOn w:val="Normal"/>
    <w:next w:val="Normal"/>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4"/>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character" w:customStyle="1" w:styleId="UnresolvedMention2">
    <w:name w:val="Unresolved Mention2"/>
    <w:basedOn w:val="DefaultParagraphFont"/>
    <w:uiPriority w:val="99"/>
    <w:semiHidden/>
    <w:unhideWhenUsed/>
    <w:rsid w:val="00AD1D5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E65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68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feedback" TargetMode="External"/><Relationship Id="rId18" Type="http://schemas.openxmlformats.org/officeDocument/2006/relationships/hyperlink" Target="https://educationendowmentfoundation.org.uk/education-evidence/guidance-reports/literacy-ks2" TargetMode="External"/><Relationship Id="rId26" Type="http://schemas.openxmlformats.org/officeDocument/2006/relationships/hyperlink" Target="https://educationendowmentfoundation.org.uk/education-evidence/teaching-learning-toolkit/individualised-instruction"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guidance-reports/early-maths"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collaborative-learning-approaches" TargetMode="External"/><Relationship Id="rId17" Type="http://schemas.openxmlformats.org/officeDocument/2006/relationships/hyperlink" Target="https://info.thenationalcollege.co.uk/testimonials" TargetMode="External"/><Relationship Id="rId25" Type="http://schemas.openxmlformats.org/officeDocument/2006/relationships/hyperlink" Target="https://educationendowmentfoundation.org.uk/education-evidence/teaching-learning-toolkit/small-group-tuitio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phonics" TargetMode="External"/><Relationship Id="rId20" Type="http://schemas.openxmlformats.org/officeDocument/2006/relationships/hyperlink" Target="https://educationendowmentfoundation.org.uk/education-evidence/guidance-reports/maths-ks-2-3" TargetMode="External"/><Relationship Id="rId29" Type="http://schemas.openxmlformats.org/officeDocument/2006/relationships/hyperlink" Target="https://educationendowmentfoundation.org.uk/education-evidence/teaching-learning-toolkit/physical-activ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guidance-reports/primary-sel" TargetMode="External"/><Relationship Id="rId24" Type="http://schemas.openxmlformats.org/officeDocument/2006/relationships/hyperlink" Target="https://educationendowmentfoundation.org.uk/education-evidence/teaching-learning-toolkit/individualised-instruction" TargetMode="External"/><Relationship Id="rId32" Type="http://schemas.openxmlformats.org/officeDocument/2006/relationships/hyperlink" Target="https://www.nurtureuk.org/wp-content/uploads/2021/11/The-EEF-Toolkit-and-Nurture-Groups.pdf" TargetMode="Externa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peer-tutoring" TargetMode="External"/><Relationship Id="rId23" Type="http://schemas.openxmlformats.org/officeDocument/2006/relationships/hyperlink" Target="https://educationendowmentfoundation.org.uk/education-evidence/teaching-learning-toolkit/teaching-assistant-interventions" TargetMode="External"/><Relationship Id="rId28" Type="http://schemas.openxmlformats.org/officeDocument/2006/relationships/hyperlink" Target="https://educationendowmentfoundation.org.uk/education-evidence/teaching-learning-toolkit/outdoor-adventure-learning" TargetMode="External"/><Relationship Id="rId36" Type="http://schemas.openxmlformats.org/officeDocument/2006/relationships/theme" Target="theme/theme1.xml"/><Relationship Id="rId10" Type="http://schemas.openxmlformats.org/officeDocument/2006/relationships/hyperlink" Target="https://www.pixl.org.uk/_site/data/files/membership/599AA17C7AD4ACC024F26351D0B107F5.pdf" TargetMode="External"/><Relationship Id="rId19" Type="http://schemas.openxmlformats.org/officeDocument/2006/relationships/hyperlink" Target="https://educationendowmentfoundation.org.uk/education-evidence/guidance-reports/literacy-ks-1" TargetMode="External"/><Relationship Id="rId31" Type="http://schemas.openxmlformats.org/officeDocument/2006/relationships/hyperlink" Target="https://www.compass-uk.org/services/c4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mastery-learning" TargetMode="External"/><Relationship Id="rId22" Type="http://schemas.openxmlformats.org/officeDocument/2006/relationships/hyperlink" Target="https://www.littlewandlelettersandsounds.org.uk/about-us/our-impact/" TargetMode="External"/><Relationship Id="rId27" Type="http://schemas.openxmlformats.org/officeDocument/2006/relationships/hyperlink" Target="https://educationendowmentfoundation.org.uk/education-evidence/teaching-learning-toolkit/arts-participation" TargetMode="External"/><Relationship Id="rId30" Type="http://schemas.openxmlformats.org/officeDocument/2006/relationships/hyperlink" Target="https://educationendowmentfoundation.org.uk/education-evidence/teaching-learning-toolkit/parental-engagemen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62a70e-0a84-4b5c-8b6b-d5157bce6a4e" xsi:nil="true"/>
    <lcf76f155ced4ddcb4097134ff3c332f xmlns="67250b9d-ec5e-49e3-a506-a80b767170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35651BF8915B4ABE1446B73BF0B081" ma:contentTypeVersion="22" ma:contentTypeDescription="Create a new document." ma:contentTypeScope="" ma:versionID="84591a031225232cabb5e5d0848c9f9c">
  <xsd:schema xmlns:xsd="http://www.w3.org/2001/XMLSchema" xmlns:xs="http://www.w3.org/2001/XMLSchema" xmlns:p="http://schemas.microsoft.com/office/2006/metadata/properties" xmlns:ns2="67250b9d-ec5e-49e3-a506-a80b7671709d" xmlns:ns3="2162a70e-0a84-4b5c-8b6b-d5157bce6a4e" targetNamespace="http://schemas.microsoft.com/office/2006/metadata/properties" ma:root="true" ma:fieldsID="a74bf7bcf32151a67758249ab363889a" ns2:_="" ns3:_="">
    <xsd:import namespace="67250b9d-ec5e-49e3-a506-a80b7671709d"/>
    <xsd:import namespace="2162a70e-0a84-4b5c-8b6b-d5157bce6a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50b9d-ec5e-49e3-a506-a80b76717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2a70e-0a84-4b5c-8b6b-d5157bce6a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444a19-b17f-40d5-b55d-9fa14ded5351}" ma:internalName="TaxCatchAll" ma:showField="CatchAllData" ma:web="2162a70e-0a84-4b5c-8b6b-d5157bce6a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168FF-76C7-4263-8F03-16403138E9ED}">
  <ds:schemaRefs>
    <ds:schemaRef ds:uri="http://purl.org/dc/elements/1.1/"/>
    <ds:schemaRef ds:uri="http://schemas.microsoft.com/office/2006/metadata/properties"/>
    <ds:schemaRef ds:uri="67250b9d-ec5e-49e3-a506-a80b7671709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162a70e-0a84-4b5c-8b6b-d5157bce6a4e"/>
    <ds:schemaRef ds:uri="http://www.w3.org/XML/1998/namespace"/>
    <ds:schemaRef ds:uri="http://purl.org/dc/dcmitype/"/>
  </ds:schemaRefs>
</ds:datastoreItem>
</file>

<file path=customXml/itemProps2.xml><?xml version="1.0" encoding="utf-8"?>
<ds:datastoreItem xmlns:ds="http://schemas.openxmlformats.org/officeDocument/2006/customXml" ds:itemID="{BCE57639-AF6D-4675-8BC6-68334A6D8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50b9d-ec5e-49e3-a506-a80b7671709d"/>
    <ds:schemaRef ds:uri="2162a70e-0a84-4b5c-8b6b-d5157bce6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79A10-415B-4526-B5DB-4770D63EB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2371</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E Hugill BKH</cp:lastModifiedBy>
  <cp:revision>4</cp:revision>
  <cp:lastPrinted>2023-10-10T13:18:00Z</cp:lastPrinted>
  <dcterms:created xsi:type="dcterms:W3CDTF">2023-10-18T13:14:00Z</dcterms:created>
  <dcterms:modified xsi:type="dcterms:W3CDTF">2023-11-13T09:49:00Z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0x0101006F35651BF8915B4ABE1446B73BF0B081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